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0926FF">
      <w:pPr>
        <w:spacing w:after="0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Pr="000926FF">
        <w:rPr>
          <w:rFonts w:ascii="Times New Roman" w:hAnsi="Times New Roman"/>
        </w:rPr>
        <w:t xml:space="preserve">Утверждена </w:t>
      </w:r>
    </w:p>
    <w:p w:rsidR="000926FF" w:rsidRPr="000926FF" w:rsidRDefault="000926FF" w:rsidP="000926FF">
      <w:pPr>
        <w:spacing w:after="0"/>
        <w:jc w:val="center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  <w:r w:rsidRPr="000926FF">
        <w:rPr>
          <w:rFonts w:ascii="Times New Roman" w:hAnsi="Times New Roman"/>
        </w:rPr>
        <w:t>постановлением администрации МО</w:t>
      </w:r>
    </w:p>
    <w:p w:rsidR="00F91915" w:rsidRDefault="00FD0962" w:rsidP="00FD09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 w:rsidR="000926FF" w:rsidRPr="000926FF">
        <w:rPr>
          <w:rFonts w:ascii="Times New Roman" w:hAnsi="Times New Roman"/>
        </w:rPr>
        <w:t>Кр</w:t>
      </w:r>
      <w:r w:rsidR="004A7F49">
        <w:rPr>
          <w:rFonts w:ascii="Times New Roman" w:hAnsi="Times New Roman"/>
        </w:rPr>
        <w:t>асноуфимский</w:t>
      </w:r>
      <w:proofErr w:type="spellEnd"/>
      <w:r w:rsidR="004A7F49">
        <w:rPr>
          <w:rFonts w:ascii="Times New Roman" w:hAnsi="Times New Roman"/>
        </w:rPr>
        <w:t xml:space="preserve"> округ </w:t>
      </w:r>
      <w:r w:rsidR="00F91915">
        <w:rPr>
          <w:rFonts w:ascii="Times New Roman" w:hAnsi="Times New Roman"/>
        </w:rPr>
        <w:t xml:space="preserve">от 27.11.2013г. № 1587  </w:t>
      </w:r>
    </w:p>
    <w:p w:rsidR="000926FF" w:rsidRPr="000926FF" w:rsidRDefault="00F91915" w:rsidP="00F9191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</w:t>
      </w:r>
      <w:r w:rsidR="007B0A71">
        <w:rPr>
          <w:rFonts w:ascii="Times New Roman" w:hAnsi="Times New Roman"/>
        </w:rPr>
        <w:t xml:space="preserve">с изменениями </w:t>
      </w:r>
      <w:r>
        <w:rPr>
          <w:rFonts w:ascii="Times New Roman" w:hAnsi="Times New Roman"/>
        </w:rPr>
        <w:t xml:space="preserve">в редакции </w:t>
      </w:r>
      <w:r w:rsidR="004A7F49">
        <w:rPr>
          <w:rFonts w:ascii="Times New Roman" w:hAnsi="Times New Roman"/>
        </w:rPr>
        <w:t>от 11.02.2015</w:t>
      </w:r>
      <w:r w:rsidR="008F7B21">
        <w:rPr>
          <w:rFonts w:ascii="Times New Roman" w:hAnsi="Times New Roman"/>
        </w:rPr>
        <w:t>г. №</w:t>
      </w:r>
      <w:proofErr w:type="gramStart"/>
      <w:r w:rsidR="008F7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)</w:t>
      </w:r>
      <w:proofErr w:type="gramEnd"/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2013 г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1D0F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D0F70">
        <w:rPr>
          <w:rFonts w:ascii="Times New Roman" w:hAnsi="Times New Roman"/>
          <w:sz w:val="28"/>
          <w:szCs w:val="28"/>
        </w:rPr>
        <w:t xml:space="preserve">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1D0F7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D0F70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 администрации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содействия развитию жилищного строительства и освоению территорий МО </w:t>
            </w:r>
            <w:proofErr w:type="spellStart"/>
            <w:r w:rsidR="00B13B96"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градостроительной документацией в целях  развития жилищного строительства  и освоения территорий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Обеспечение ежегодного роста объемов ввода жилья в МО 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округ;</w:t>
            </w:r>
          </w:p>
          <w:p w:rsidR="00B13B96" w:rsidRPr="00981C6E" w:rsidRDefault="001C482F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проектами планировок и проектами межевания территорий.</w:t>
            </w:r>
          </w:p>
          <w:p w:rsidR="006A5A0A" w:rsidRPr="00981C6E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системой обеспечения градостроительной документацией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ED5723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981C6E" w:rsidRDefault="00ED5723" w:rsidP="001C482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жилых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помещений, приходящаяся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1192492,75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142067,75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155350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169925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173020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177950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181800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192550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18755,75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95,75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1000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5390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3660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2460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244CA8">
              <w:rPr>
                <w:rFonts w:ascii="Times New Roman" w:hAnsi="Times New Roman"/>
                <w:sz w:val="28"/>
                <w:szCs w:val="28"/>
              </w:rPr>
              <w:t>од – 3900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19262,5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2310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2410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2940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9100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средства – 1154475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162225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166950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173250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176400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179550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8BC" w:rsidRDefault="004A28BC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Pr="004A28BC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округ.</w:t>
      </w: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B13B96" w:rsidRPr="00142802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2010-2012 годах в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введено 17,3 тыс. кв. метров общей жилой площади. Обеспеченность жильем в 2012 году составила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ED572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D572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765" w:rsidRDefault="00AB2765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765" w:rsidRDefault="00AB2765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765" w:rsidRDefault="00AB2765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765" w:rsidRDefault="00AB2765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503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50333">
        <w:rPr>
          <w:rFonts w:ascii="Times New Roman" w:hAnsi="Times New Roman"/>
          <w:sz w:val="28"/>
          <w:szCs w:val="28"/>
        </w:rPr>
        <w:t xml:space="preserve">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B13B96" w:rsidP="002F012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для бюджетных инвестиций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3 к муниципальной программе.</w:t>
      </w:r>
    </w:p>
    <w:p w:rsidR="00B13B96" w:rsidRDefault="00B13B96" w:rsidP="002F012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как ответственный исполнитель программы осуществляет следующие функции:</w:t>
      </w:r>
    </w:p>
    <w:p w:rsidR="00B13B96" w:rsidRDefault="00B13B96" w:rsidP="002F01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 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B13B96" w:rsidRDefault="00B13B96" w:rsidP="002F01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программы в соответствии с Порядком формирования и реализации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r w:rsidR="00EA59A7">
        <w:rPr>
          <w:rFonts w:ascii="Times New Roman" w:hAnsi="Times New Roman"/>
          <w:sz w:val="28"/>
          <w:szCs w:val="28"/>
        </w:rPr>
        <w:t>асноуфимский</w:t>
      </w:r>
      <w:proofErr w:type="spellEnd"/>
      <w:r w:rsidR="00EA59A7">
        <w:rPr>
          <w:rFonts w:ascii="Times New Roman" w:hAnsi="Times New Roman"/>
          <w:sz w:val="28"/>
          <w:szCs w:val="28"/>
        </w:rPr>
        <w:t xml:space="preserve"> округ,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EA59A7">
        <w:rPr>
          <w:rFonts w:ascii="Times New Roman" w:hAnsi="Times New Roman"/>
          <w:sz w:val="28"/>
          <w:szCs w:val="28"/>
        </w:rPr>
        <w:t xml:space="preserve">ии МО </w:t>
      </w:r>
      <w:proofErr w:type="spellStart"/>
      <w:r w:rsidR="00EA59A7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A59A7">
        <w:rPr>
          <w:rFonts w:ascii="Times New Roman" w:hAnsi="Times New Roman"/>
          <w:sz w:val="28"/>
          <w:szCs w:val="28"/>
        </w:rPr>
        <w:t xml:space="preserve"> округ от 31</w:t>
      </w:r>
      <w:r>
        <w:rPr>
          <w:rFonts w:ascii="Times New Roman" w:hAnsi="Times New Roman"/>
          <w:sz w:val="28"/>
          <w:szCs w:val="28"/>
        </w:rPr>
        <w:t>.10.2013 г. № 1474.</w:t>
      </w:r>
    </w:p>
    <w:p w:rsidR="00B13B96" w:rsidRDefault="00B13B96" w:rsidP="002F01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 необходимости корректировку муниципальной программы</w:t>
      </w:r>
      <w:r w:rsidR="00815063" w:rsidRPr="00815063">
        <w:rPr>
          <w:rFonts w:ascii="Times New Roman" w:hAnsi="Times New Roman"/>
          <w:sz w:val="28"/>
          <w:szCs w:val="28"/>
        </w:rPr>
        <w:t xml:space="preserve"> </w:t>
      </w:r>
      <w:r w:rsidR="0081506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 «Градостроительное планирование </w:t>
      </w:r>
      <w:r w:rsidR="00815063"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 xml:space="preserve">орий МО </w:t>
      </w:r>
      <w:proofErr w:type="spellStart"/>
      <w:r w:rsidR="00815063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815063">
        <w:rPr>
          <w:rFonts w:ascii="Times New Roman" w:hAnsi="Times New Roman"/>
          <w:sz w:val="28"/>
          <w:szCs w:val="28"/>
        </w:rPr>
        <w:t xml:space="preserve"> округ</w:t>
      </w:r>
      <w:r w:rsidR="00815063"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>.</w:t>
      </w:r>
    </w:p>
    <w:p w:rsidR="00AB2765" w:rsidRDefault="00AB2765" w:rsidP="00AB276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765" w:rsidRDefault="00AB2765" w:rsidP="00AB276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BE3DD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B13B96" w:rsidRDefault="00B13B96" w:rsidP="00BE3D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по разработке градостроительной документации.</w:t>
      </w:r>
    </w:p>
    <w:p w:rsidR="00B13B96" w:rsidRDefault="00B13B96" w:rsidP="00BE3D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Хозяйствующие субъекты – застройщики, организации строительного комплекса по строительству жилых домов.</w:t>
      </w:r>
    </w:p>
    <w:p w:rsidR="00B13B96" w:rsidRDefault="00B13B96" w:rsidP="004E7AB8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4E7AB8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545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42EB"/>
    <w:rsid w:val="000926FF"/>
    <w:rsid w:val="000C079B"/>
    <w:rsid w:val="000E73DF"/>
    <w:rsid w:val="000F010E"/>
    <w:rsid w:val="000F51C4"/>
    <w:rsid w:val="00101532"/>
    <w:rsid w:val="00142802"/>
    <w:rsid w:val="001C482F"/>
    <w:rsid w:val="001D0F70"/>
    <w:rsid w:val="00233A4B"/>
    <w:rsid w:val="00244CA8"/>
    <w:rsid w:val="00263FCB"/>
    <w:rsid w:val="002839D7"/>
    <w:rsid w:val="002933E2"/>
    <w:rsid w:val="002C425F"/>
    <w:rsid w:val="002E18DE"/>
    <w:rsid w:val="002F0120"/>
    <w:rsid w:val="002F4B07"/>
    <w:rsid w:val="0034618C"/>
    <w:rsid w:val="00450333"/>
    <w:rsid w:val="00456A85"/>
    <w:rsid w:val="00463091"/>
    <w:rsid w:val="00480975"/>
    <w:rsid w:val="004A28BC"/>
    <w:rsid w:val="004A7F49"/>
    <w:rsid w:val="004B359E"/>
    <w:rsid w:val="004D5B9E"/>
    <w:rsid w:val="004E7AB8"/>
    <w:rsid w:val="00540191"/>
    <w:rsid w:val="00541C9A"/>
    <w:rsid w:val="00545068"/>
    <w:rsid w:val="005565C1"/>
    <w:rsid w:val="005850D4"/>
    <w:rsid w:val="00585595"/>
    <w:rsid w:val="005A3FCA"/>
    <w:rsid w:val="005A693D"/>
    <w:rsid w:val="005A7111"/>
    <w:rsid w:val="005E5C74"/>
    <w:rsid w:val="006422C9"/>
    <w:rsid w:val="0065027C"/>
    <w:rsid w:val="00655DEB"/>
    <w:rsid w:val="00667720"/>
    <w:rsid w:val="006A5A0A"/>
    <w:rsid w:val="00705206"/>
    <w:rsid w:val="00723E3F"/>
    <w:rsid w:val="007305C1"/>
    <w:rsid w:val="007805F2"/>
    <w:rsid w:val="00786B5B"/>
    <w:rsid w:val="00787208"/>
    <w:rsid w:val="00794FD7"/>
    <w:rsid w:val="007B0A71"/>
    <w:rsid w:val="007C4307"/>
    <w:rsid w:val="00800A73"/>
    <w:rsid w:val="00815063"/>
    <w:rsid w:val="00815DA5"/>
    <w:rsid w:val="008169BA"/>
    <w:rsid w:val="00855BED"/>
    <w:rsid w:val="00857107"/>
    <w:rsid w:val="00864F26"/>
    <w:rsid w:val="008C23AE"/>
    <w:rsid w:val="008F3618"/>
    <w:rsid w:val="008F7B21"/>
    <w:rsid w:val="009269DB"/>
    <w:rsid w:val="00944355"/>
    <w:rsid w:val="00954F71"/>
    <w:rsid w:val="00961E46"/>
    <w:rsid w:val="00962F28"/>
    <w:rsid w:val="00981C6E"/>
    <w:rsid w:val="009A5367"/>
    <w:rsid w:val="009C6FFD"/>
    <w:rsid w:val="009D206C"/>
    <w:rsid w:val="00A13E2F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B13B96"/>
    <w:rsid w:val="00B205ED"/>
    <w:rsid w:val="00B41B71"/>
    <w:rsid w:val="00B800C1"/>
    <w:rsid w:val="00BD6389"/>
    <w:rsid w:val="00BE10A8"/>
    <w:rsid w:val="00BE3DDC"/>
    <w:rsid w:val="00BF55AC"/>
    <w:rsid w:val="00C603C5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D72AB"/>
    <w:rsid w:val="00E2512F"/>
    <w:rsid w:val="00E52BD2"/>
    <w:rsid w:val="00EA59A7"/>
    <w:rsid w:val="00EB3C27"/>
    <w:rsid w:val="00ED5723"/>
    <w:rsid w:val="00EF0630"/>
    <w:rsid w:val="00F37917"/>
    <w:rsid w:val="00F85B33"/>
    <w:rsid w:val="00F91915"/>
    <w:rsid w:val="00FD0962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5D8F-8C10-49BD-B92A-53209F16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10</cp:revision>
  <cp:lastPrinted>2014-05-08T05:23:00Z</cp:lastPrinted>
  <dcterms:created xsi:type="dcterms:W3CDTF">2015-02-04T08:54:00Z</dcterms:created>
  <dcterms:modified xsi:type="dcterms:W3CDTF">2015-02-04T09:24:00Z</dcterms:modified>
</cp:coreProperties>
</file>