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130826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ТРЕТЬЕ</w:t>
      </w:r>
      <w:r w:rsidR="00260104">
        <w:rPr>
          <w:b/>
          <w:sz w:val="28"/>
          <w:szCs w:val="28"/>
        </w:rPr>
        <w:t xml:space="preserve"> 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A36817" w:rsidP="00A042B8">
      <w:pPr>
        <w:jc w:val="both"/>
        <w:rPr>
          <w:b/>
          <w:szCs w:val="28"/>
        </w:rPr>
      </w:pPr>
      <w:r>
        <w:rPr>
          <w:b/>
          <w:szCs w:val="28"/>
        </w:rPr>
        <w:t>от 29</w:t>
      </w:r>
      <w:r w:rsidR="00AE0B88">
        <w:rPr>
          <w:b/>
          <w:szCs w:val="28"/>
        </w:rPr>
        <w:t xml:space="preserve"> апреля</w:t>
      </w:r>
      <w:r w:rsidR="00A042B8">
        <w:rPr>
          <w:b/>
          <w:szCs w:val="28"/>
        </w:rPr>
        <w:t xml:space="preserve"> 2014 г.  № </w:t>
      </w:r>
      <w:r w:rsidR="00884A36">
        <w:rPr>
          <w:b/>
          <w:szCs w:val="28"/>
        </w:rPr>
        <w:t>218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  <w:r w:rsidRPr="00EC6253">
        <w:rPr>
          <w:b/>
        </w:rPr>
        <w:t xml:space="preserve">      </w:t>
      </w:r>
    </w:p>
    <w:p w:rsidR="00A042B8" w:rsidRDefault="00A042B8" w:rsidP="00A042B8">
      <w:pPr>
        <w:jc w:val="both"/>
        <w:rPr>
          <w:szCs w:val="28"/>
        </w:rPr>
      </w:pPr>
      <w:r>
        <w:t xml:space="preserve">   </w:t>
      </w:r>
      <w:r w:rsidR="005D6016">
        <w:t xml:space="preserve">        </w:t>
      </w: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DE4853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Красноуфимский округ, связанных с уточнением размещения территориальных зон</w:t>
      </w:r>
      <w:r w:rsidR="00260104">
        <w:rPr>
          <w:szCs w:val="28"/>
        </w:rPr>
        <w:t xml:space="preserve"> в населенных пунктах  </w:t>
      </w:r>
      <w:r w:rsidR="00AE0B88">
        <w:rPr>
          <w:szCs w:val="28"/>
        </w:rPr>
        <w:t xml:space="preserve"> д. </w:t>
      </w:r>
      <w:proofErr w:type="spellStart"/>
      <w:r w:rsidR="00AE0B88">
        <w:rPr>
          <w:szCs w:val="28"/>
        </w:rPr>
        <w:t>Приданниково</w:t>
      </w:r>
      <w:proofErr w:type="spellEnd"/>
      <w:r>
        <w:rPr>
          <w:szCs w:val="28"/>
        </w:rPr>
        <w:t xml:space="preserve"> </w:t>
      </w:r>
      <w:r w:rsidR="00260104">
        <w:rPr>
          <w:szCs w:val="28"/>
        </w:rPr>
        <w:t xml:space="preserve">            </w:t>
      </w:r>
      <w:r w:rsidR="00AE0B88">
        <w:rPr>
          <w:szCs w:val="28"/>
        </w:rPr>
        <w:t xml:space="preserve">(приложение № 1), п. </w:t>
      </w:r>
      <w:proofErr w:type="spellStart"/>
      <w:r w:rsidR="00AE0B88">
        <w:rPr>
          <w:szCs w:val="28"/>
        </w:rPr>
        <w:t>Саргая</w:t>
      </w:r>
      <w:proofErr w:type="spellEnd"/>
      <w:r>
        <w:rPr>
          <w:szCs w:val="28"/>
        </w:rPr>
        <w:t xml:space="preserve"> (</w:t>
      </w:r>
      <w:r w:rsidR="00260104">
        <w:rPr>
          <w:szCs w:val="28"/>
        </w:rPr>
        <w:t xml:space="preserve">приложение № 2),  </w:t>
      </w:r>
      <w:r>
        <w:rPr>
          <w:szCs w:val="28"/>
        </w:rPr>
        <w:t xml:space="preserve">   п. Сара</w:t>
      </w:r>
      <w:r w:rsidR="00AE0B88">
        <w:rPr>
          <w:szCs w:val="28"/>
        </w:rPr>
        <w:t xml:space="preserve">на (приложение № 3), д. </w:t>
      </w:r>
      <w:proofErr w:type="spellStart"/>
      <w:r w:rsidR="00AE0B88">
        <w:rPr>
          <w:szCs w:val="28"/>
        </w:rPr>
        <w:t>Зауфа</w:t>
      </w:r>
      <w:proofErr w:type="spellEnd"/>
      <w:r w:rsidR="00AE0B88">
        <w:rPr>
          <w:szCs w:val="28"/>
        </w:rPr>
        <w:t xml:space="preserve"> (приложение № 4)</w:t>
      </w:r>
      <w:r>
        <w:rPr>
          <w:szCs w:val="28"/>
        </w:rPr>
        <w:t>.</w:t>
      </w:r>
    </w:p>
    <w:p w:rsidR="00A042B8" w:rsidRPr="0024088A" w:rsidRDefault="007B00D3" w:rsidP="00A042B8">
      <w:pPr>
        <w:jc w:val="both"/>
        <w:rPr>
          <w:szCs w:val="28"/>
        </w:rPr>
      </w:pPr>
      <w:r>
        <w:rPr>
          <w:szCs w:val="28"/>
        </w:rPr>
        <w:tab/>
        <w:t>2. В</w:t>
      </w:r>
      <w:r w:rsidR="00DE4853">
        <w:rPr>
          <w:szCs w:val="28"/>
        </w:rPr>
        <w:t xml:space="preserve">нести изменения в карты градостроительного зонирования в части обозначения зон затопления и подтопления в </w:t>
      </w:r>
      <w:r w:rsidR="00833B50">
        <w:rPr>
          <w:szCs w:val="28"/>
        </w:rPr>
        <w:t xml:space="preserve">следующих </w:t>
      </w:r>
      <w:r w:rsidR="00DE4853">
        <w:rPr>
          <w:szCs w:val="28"/>
        </w:rPr>
        <w:t>населенных пунктах</w:t>
      </w:r>
      <w:r w:rsidR="00833B50">
        <w:rPr>
          <w:szCs w:val="28"/>
        </w:rPr>
        <w:t xml:space="preserve"> д. Подгорная</w:t>
      </w:r>
      <w:r>
        <w:rPr>
          <w:szCs w:val="28"/>
        </w:rPr>
        <w:t xml:space="preserve">, д. Банное, д. Озерки, д. </w:t>
      </w:r>
      <w:proofErr w:type="spellStart"/>
      <w:r>
        <w:rPr>
          <w:szCs w:val="28"/>
        </w:rPr>
        <w:t>Приданниково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Сызги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Средний </w:t>
      </w:r>
      <w:proofErr w:type="spellStart"/>
      <w:r>
        <w:rPr>
          <w:szCs w:val="28"/>
        </w:rPr>
        <w:t>Бугалыш</w:t>
      </w:r>
      <w:proofErr w:type="spellEnd"/>
      <w:r>
        <w:rPr>
          <w:szCs w:val="28"/>
        </w:rPr>
        <w:t xml:space="preserve">, с. Криулино, с. </w:t>
      </w:r>
      <w:proofErr w:type="spellStart"/>
      <w:r>
        <w:rPr>
          <w:szCs w:val="28"/>
        </w:rPr>
        <w:t>Нижнеиргинское</w:t>
      </w:r>
      <w:proofErr w:type="spellEnd"/>
      <w:r>
        <w:rPr>
          <w:szCs w:val="28"/>
        </w:rPr>
        <w:t xml:space="preserve">, с. Новое Село, с. </w:t>
      </w:r>
      <w:proofErr w:type="spellStart"/>
      <w:r>
        <w:rPr>
          <w:szCs w:val="28"/>
        </w:rPr>
        <w:t>Рахмагулово</w:t>
      </w:r>
      <w:proofErr w:type="spellEnd"/>
      <w:r>
        <w:rPr>
          <w:szCs w:val="28"/>
        </w:rPr>
        <w:t xml:space="preserve">, д. Большая Тавра, с. </w:t>
      </w:r>
      <w:proofErr w:type="spellStart"/>
      <w:r>
        <w:rPr>
          <w:szCs w:val="28"/>
        </w:rPr>
        <w:t>Юва</w:t>
      </w:r>
      <w:proofErr w:type="spellEnd"/>
      <w:r>
        <w:rPr>
          <w:szCs w:val="28"/>
        </w:rPr>
        <w:t xml:space="preserve">, п. </w:t>
      </w:r>
      <w:proofErr w:type="spellStart"/>
      <w:r>
        <w:rPr>
          <w:szCs w:val="28"/>
        </w:rPr>
        <w:t>Саргая</w:t>
      </w:r>
      <w:proofErr w:type="spellEnd"/>
      <w:r>
        <w:rPr>
          <w:szCs w:val="28"/>
        </w:rPr>
        <w:t xml:space="preserve">, с. </w:t>
      </w:r>
      <w:proofErr w:type="spellStart"/>
      <w:r>
        <w:rPr>
          <w:szCs w:val="28"/>
        </w:rPr>
        <w:t>Красносоколье</w:t>
      </w:r>
      <w:proofErr w:type="spellEnd"/>
      <w:r>
        <w:rPr>
          <w:szCs w:val="28"/>
        </w:rPr>
        <w:t>,</w:t>
      </w:r>
      <w:r w:rsidR="002110FE">
        <w:rPr>
          <w:szCs w:val="28"/>
        </w:rPr>
        <w:t xml:space="preserve"> </w:t>
      </w:r>
      <w:r>
        <w:rPr>
          <w:szCs w:val="28"/>
        </w:rPr>
        <w:t xml:space="preserve"> д. </w:t>
      </w:r>
      <w:proofErr w:type="spellStart"/>
      <w:r>
        <w:rPr>
          <w:szCs w:val="28"/>
        </w:rPr>
        <w:t>Куянково</w:t>
      </w:r>
      <w:proofErr w:type="spellEnd"/>
      <w:r>
        <w:rPr>
          <w:szCs w:val="28"/>
        </w:rPr>
        <w:t xml:space="preserve">, д. Большое </w:t>
      </w:r>
      <w:proofErr w:type="spellStart"/>
      <w:r>
        <w:rPr>
          <w:szCs w:val="28"/>
        </w:rPr>
        <w:t>Кошаево</w:t>
      </w:r>
      <w:proofErr w:type="spellEnd"/>
      <w:r>
        <w:rPr>
          <w:szCs w:val="28"/>
        </w:rPr>
        <w:t xml:space="preserve">, с. Марийские Ключики, д. Татарская </w:t>
      </w:r>
      <w:proofErr w:type="spellStart"/>
      <w:r>
        <w:rPr>
          <w:szCs w:val="28"/>
        </w:rPr>
        <w:t>Еманзельга</w:t>
      </w:r>
      <w:proofErr w:type="spellEnd"/>
      <w:r>
        <w:rPr>
          <w:szCs w:val="28"/>
        </w:rPr>
        <w:t xml:space="preserve">, д. Новый </w:t>
      </w:r>
      <w:proofErr w:type="spellStart"/>
      <w:r>
        <w:rPr>
          <w:szCs w:val="28"/>
        </w:rPr>
        <w:t>Бугалыш</w:t>
      </w:r>
      <w:proofErr w:type="spellEnd"/>
      <w:r>
        <w:rPr>
          <w:szCs w:val="28"/>
        </w:rPr>
        <w:t xml:space="preserve">, д. Верхний </w:t>
      </w:r>
      <w:proofErr w:type="spellStart"/>
      <w:r>
        <w:rPr>
          <w:szCs w:val="28"/>
        </w:rPr>
        <w:t>Бугалыш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Усть-Баяк</w:t>
      </w:r>
      <w:proofErr w:type="spellEnd"/>
      <w:r>
        <w:rPr>
          <w:szCs w:val="28"/>
        </w:rPr>
        <w:t>.</w:t>
      </w:r>
      <w:r w:rsidR="00A042B8">
        <w:rPr>
          <w:szCs w:val="28"/>
        </w:rPr>
        <w:t xml:space="preserve"> </w:t>
      </w:r>
    </w:p>
    <w:p w:rsidR="00A042B8" w:rsidRDefault="007B00D3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3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7B00D3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4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Pr="002110FE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Pr="006A7A2A">
        <w:rPr>
          <w:color w:val="000000"/>
          <w:spacing w:val="-16"/>
          <w:szCs w:val="28"/>
        </w:rPr>
        <w:t xml:space="preserve"> 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5D6016">
        <w:t>29.</w:t>
      </w:r>
      <w:r w:rsidR="00803C5F">
        <w:t>04</w:t>
      </w:r>
      <w:r>
        <w:t>.201</w:t>
      </w:r>
      <w:r w:rsidR="00FB7F5F">
        <w:t>4</w:t>
      </w:r>
      <w:r>
        <w:t xml:space="preserve"> г. N </w:t>
      </w:r>
      <w:r w:rsidR="00A14A85">
        <w:t>218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 в населенном пункте </w:t>
      </w:r>
      <w:proofErr w:type="spellStart"/>
      <w:r>
        <w:rPr>
          <w:szCs w:val="28"/>
        </w:rPr>
        <w:t>Приданниково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FB7F5F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03C5F">
              <w:rPr>
                <w:szCs w:val="28"/>
              </w:rPr>
              <w:t xml:space="preserve"> центральной</w:t>
            </w:r>
            <w:r>
              <w:rPr>
                <w:szCs w:val="28"/>
              </w:rPr>
              <w:t xml:space="preserve"> части населенного пункта</w:t>
            </w:r>
            <w:r w:rsidR="00102581">
              <w:rPr>
                <w:szCs w:val="28"/>
              </w:rPr>
              <w:t xml:space="preserve"> в границах </w:t>
            </w:r>
            <w:r w:rsidR="00803C5F">
              <w:rPr>
                <w:szCs w:val="28"/>
              </w:rPr>
              <w:t xml:space="preserve"> с севера территория застройки  образовательных учреждений, с востока территория стадиона </w:t>
            </w:r>
            <w:proofErr w:type="spellStart"/>
            <w:r w:rsidR="00803C5F">
              <w:rPr>
                <w:szCs w:val="28"/>
              </w:rPr>
              <w:t>Приданниковской</w:t>
            </w:r>
            <w:proofErr w:type="spellEnd"/>
            <w:r w:rsidR="00803C5F">
              <w:rPr>
                <w:szCs w:val="28"/>
              </w:rPr>
              <w:t xml:space="preserve"> школы, с юга гаражный кооператив и с запада жилая застройка по ул. Солнечная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102581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Зон</w:t>
            </w:r>
            <w:r w:rsidR="00803C5F">
              <w:rPr>
                <w:szCs w:val="28"/>
              </w:rPr>
              <w:t>у образовательных учреждений (индекс «О-3</w:t>
            </w:r>
            <w:r>
              <w:rPr>
                <w:szCs w:val="28"/>
              </w:rPr>
              <w:t>») на</w:t>
            </w:r>
            <w:r w:rsidRPr="009825BC">
              <w:rPr>
                <w:szCs w:val="28"/>
              </w:rPr>
              <w:t xml:space="preserve"> зо</w:t>
            </w:r>
            <w:r>
              <w:rPr>
                <w:szCs w:val="28"/>
              </w:rPr>
              <w:t>ну застройки индивидуальными жилыми домами (индекс «Ж-2»)</w:t>
            </w:r>
            <w:r w:rsidR="00102581">
              <w:rPr>
                <w:szCs w:val="28"/>
              </w:rPr>
              <w:t>.</w:t>
            </w:r>
            <w:r w:rsidR="00FB7F5F">
              <w:rPr>
                <w:szCs w:val="28"/>
              </w:rPr>
              <w:t xml:space="preserve"> 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130826" w:rsidRDefault="00130826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803096">
        <w:rPr>
          <w:sz w:val="24"/>
          <w:szCs w:val="24"/>
        </w:rPr>
        <w:t xml:space="preserve">                                                                              </w:t>
      </w:r>
      <w:r w:rsidRPr="00FB7F5F">
        <w:rPr>
          <w:sz w:val="24"/>
          <w:szCs w:val="24"/>
        </w:rPr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A042B8" w:rsidP="00A042B8">
      <w:pPr>
        <w:jc w:val="right"/>
        <w:rPr>
          <w:sz w:val="24"/>
          <w:szCs w:val="24"/>
        </w:rPr>
      </w:pPr>
      <w:r w:rsidRPr="00803096">
        <w:rPr>
          <w:sz w:val="24"/>
          <w:szCs w:val="24"/>
        </w:rPr>
        <w:t xml:space="preserve">                                                                                        </w:t>
      </w:r>
      <w:r w:rsidR="005D6016">
        <w:rPr>
          <w:sz w:val="24"/>
          <w:szCs w:val="24"/>
        </w:rPr>
        <w:t>от   29</w:t>
      </w:r>
      <w:r w:rsidR="00803C5F">
        <w:rPr>
          <w:sz w:val="24"/>
          <w:szCs w:val="24"/>
        </w:rPr>
        <w:t>.04</w:t>
      </w:r>
      <w:r w:rsidR="00FB7F5F">
        <w:rPr>
          <w:sz w:val="24"/>
          <w:szCs w:val="24"/>
        </w:rPr>
        <w:t>.2014</w:t>
      </w:r>
      <w:r>
        <w:rPr>
          <w:sz w:val="24"/>
          <w:szCs w:val="24"/>
        </w:rPr>
        <w:t xml:space="preserve"> г. N </w:t>
      </w:r>
      <w:r w:rsidR="00A14A85">
        <w:rPr>
          <w:sz w:val="24"/>
          <w:szCs w:val="24"/>
        </w:rPr>
        <w:t>218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9777AA">
        <w:rPr>
          <w:szCs w:val="28"/>
        </w:rPr>
        <w:t xml:space="preserve"> </w:t>
      </w:r>
      <w:proofErr w:type="spellStart"/>
      <w:r w:rsidR="009777AA">
        <w:rPr>
          <w:szCs w:val="28"/>
        </w:rPr>
        <w:t>Саргая</w:t>
      </w:r>
      <w:proofErr w:type="spellEnd"/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9777AA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102581">
              <w:rPr>
                <w:szCs w:val="28"/>
              </w:rPr>
              <w:t xml:space="preserve">западной </w:t>
            </w:r>
            <w:r w:rsidR="00A042B8">
              <w:rPr>
                <w:szCs w:val="28"/>
              </w:rPr>
              <w:t xml:space="preserve"> части населенного пункта </w:t>
            </w:r>
            <w:r>
              <w:rPr>
                <w:szCs w:val="28"/>
              </w:rPr>
              <w:t>по ул. Новая</w:t>
            </w:r>
            <w:r w:rsidR="00102581">
              <w:rPr>
                <w:szCs w:val="28"/>
              </w:rPr>
              <w:t xml:space="preserve"> в границах с </w:t>
            </w:r>
            <w:r>
              <w:rPr>
                <w:szCs w:val="28"/>
              </w:rPr>
              <w:t xml:space="preserve">севера граница населенного пункта, с </w:t>
            </w:r>
            <w:r w:rsidR="00102581">
              <w:rPr>
                <w:szCs w:val="28"/>
              </w:rPr>
              <w:t>зап</w:t>
            </w:r>
            <w:r>
              <w:rPr>
                <w:szCs w:val="28"/>
              </w:rPr>
              <w:t>адной стороны зона индивидуальной жилой застройки и санитарно-защитная зона предприятия,</w:t>
            </w:r>
            <w:r w:rsidR="00102581">
              <w:rPr>
                <w:szCs w:val="28"/>
              </w:rPr>
              <w:t xml:space="preserve"> с южной стороны </w:t>
            </w:r>
            <w:r>
              <w:rPr>
                <w:szCs w:val="28"/>
              </w:rPr>
              <w:t xml:space="preserve">автодорога в п. </w:t>
            </w:r>
            <w:proofErr w:type="spellStart"/>
            <w:r>
              <w:rPr>
                <w:szCs w:val="28"/>
              </w:rPr>
              <w:t>Дегтярка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9777AA" w:rsidP="00E8304A">
            <w:pPr>
              <w:jc w:val="both"/>
            </w:pPr>
            <w:r>
              <w:rPr>
                <w:szCs w:val="28"/>
              </w:rPr>
              <w:t>Зону</w:t>
            </w:r>
            <w:r w:rsidR="00A042B8" w:rsidRPr="009825BC">
              <w:rPr>
                <w:szCs w:val="28"/>
              </w:rPr>
              <w:t xml:space="preserve"> </w:t>
            </w:r>
            <w:r w:rsidR="00A042B8">
              <w:rPr>
                <w:szCs w:val="28"/>
              </w:rPr>
              <w:t>открытого природного ландшафта (индекс «Р-4»)</w:t>
            </w:r>
            <w:r>
              <w:rPr>
                <w:szCs w:val="28"/>
              </w:rPr>
              <w:t xml:space="preserve">, зону садовых некоммерческих товариществ (индекс «СХ-1») и зону озеленения специального назначения (индекс «С-1») </w:t>
            </w:r>
            <w:r w:rsidR="00A042B8">
              <w:rPr>
                <w:szCs w:val="28"/>
              </w:rPr>
              <w:t xml:space="preserve">  в зону застройки индивидуальными жилыми домами (индекс «Ж-2»).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>
        <w:t xml:space="preserve">                                                                             </w:t>
      </w: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A042B8" w:rsidP="00A042B8">
      <w:pPr>
        <w:jc w:val="right"/>
        <w:rPr>
          <w:sz w:val="24"/>
          <w:szCs w:val="24"/>
        </w:rPr>
      </w:pPr>
      <w:r w:rsidRPr="009D7534">
        <w:rPr>
          <w:sz w:val="24"/>
          <w:szCs w:val="24"/>
        </w:rPr>
        <w:t xml:space="preserve">                                                                                         </w:t>
      </w:r>
      <w:r w:rsidR="005D6016">
        <w:rPr>
          <w:sz w:val="24"/>
          <w:szCs w:val="24"/>
        </w:rPr>
        <w:t>от   29</w:t>
      </w:r>
      <w:r w:rsidR="009777AA">
        <w:rPr>
          <w:sz w:val="24"/>
          <w:szCs w:val="24"/>
        </w:rPr>
        <w:t>.04</w:t>
      </w:r>
      <w:r w:rsidR="00102581">
        <w:rPr>
          <w:sz w:val="24"/>
          <w:szCs w:val="24"/>
        </w:rPr>
        <w:t>.2014</w:t>
      </w:r>
      <w:r>
        <w:rPr>
          <w:sz w:val="24"/>
          <w:szCs w:val="24"/>
        </w:rPr>
        <w:t xml:space="preserve"> г. N </w:t>
      </w:r>
      <w:r w:rsidR="00A14A85">
        <w:rPr>
          <w:sz w:val="24"/>
          <w:szCs w:val="24"/>
        </w:rPr>
        <w:t>218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 в населенном пункте Сарана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0D1B72" w:rsidP="00A42786">
            <w:pPr>
              <w:jc w:val="both"/>
            </w:pPr>
            <w:proofErr w:type="gramStart"/>
            <w:r>
              <w:t>В юго-восточной</w:t>
            </w:r>
            <w:r w:rsidR="00A042B8">
              <w:t xml:space="preserve"> части населенного</w:t>
            </w:r>
            <w:r>
              <w:t xml:space="preserve"> пункта по ул. Пролетарская в границах с северо-западной</w:t>
            </w:r>
            <w:r w:rsidR="00A42786">
              <w:t xml:space="preserve"> стороны автодорога по ул. П</w:t>
            </w:r>
            <w:r>
              <w:t xml:space="preserve">ролетарская, с </w:t>
            </w:r>
            <w:r w:rsidR="00373D06">
              <w:t xml:space="preserve"> восточ</w:t>
            </w:r>
            <w:r w:rsidR="00A42786">
              <w:t xml:space="preserve">ной </w:t>
            </w:r>
            <w:r>
              <w:t>и южной сторон зона коммунально-складских объектов</w:t>
            </w:r>
            <w:r w:rsidR="00A042B8">
              <w:t>.</w:t>
            </w:r>
            <w:proofErr w:type="gramEnd"/>
          </w:p>
        </w:tc>
        <w:tc>
          <w:tcPr>
            <w:tcW w:w="4359" w:type="dxa"/>
          </w:tcPr>
          <w:p w:rsidR="00A042B8" w:rsidRPr="00DF0AEC" w:rsidRDefault="00A042B8" w:rsidP="00E8304A">
            <w:pPr>
              <w:jc w:val="both"/>
            </w:pPr>
            <w:r>
              <w:rPr>
                <w:szCs w:val="28"/>
              </w:rPr>
              <w:t>Зону</w:t>
            </w:r>
            <w:r w:rsidRPr="009825BC">
              <w:rPr>
                <w:szCs w:val="28"/>
              </w:rPr>
              <w:t xml:space="preserve"> </w:t>
            </w:r>
            <w:r w:rsidR="000D1B72">
              <w:rPr>
                <w:szCs w:val="28"/>
              </w:rPr>
              <w:t>коммунально-складских объектов (индекс «П-3»)  в зону  застройки индивидуальными жилыми домами (индекс «Ж-2»)</w:t>
            </w:r>
            <w:r>
              <w:rPr>
                <w:szCs w:val="28"/>
              </w:rPr>
              <w:t>.</w:t>
            </w:r>
          </w:p>
          <w:p w:rsidR="00A042B8" w:rsidRPr="00DF0AEC" w:rsidRDefault="00A042B8" w:rsidP="00E8304A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5D6016" w:rsidRDefault="005D6016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9D7534"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Pr="00373D06">
        <w:rPr>
          <w:sz w:val="24"/>
          <w:szCs w:val="24"/>
        </w:rPr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A042B8" w:rsidP="00A042B8">
      <w:pPr>
        <w:jc w:val="right"/>
        <w:rPr>
          <w:sz w:val="24"/>
          <w:szCs w:val="24"/>
        </w:rPr>
      </w:pPr>
      <w:r w:rsidRPr="009D7534">
        <w:rPr>
          <w:sz w:val="24"/>
          <w:szCs w:val="24"/>
        </w:rPr>
        <w:t xml:space="preserve">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5D6016">
        <w:rPr>
          <w:sz w:val="24"/>
          <w:szCs w:val="24"/>
        </w:rPr>
        <w:t>29</w:t>
      </w:r>
      <w:r w:rsidR="000D1B72">
        <w:rPr>
          <w:sz w:val="24"/>
          <w:szCs w:val="24"/>
        </w:rPr>
        <w:t>.04</w:t>
      </w:r>
      <w:r w:rsidR="007B00F8">
        <w:rPr>
          <w:sz w:val="24"/>
          <w:szCs w:val="24"/>
        </w:rPr>
        <w:t>.2014</w:t>
      </w:r>
      <w:r>
        <w:rPr>
          <w:sz w:val="24"/>
          <w:szCs w:val="24"/>
        </w:rPr>
        <w:t xml:space="preserve"> г. N </w:t>
      </w:r>
      <w:r w:rsidR="00A14A85">
        <w:rPr>
          <w:sz w:val="24"/>
          <w:szCs w:val="24"/>
        </w:rPr>
        <w:t>218</w:t>
      </w:r>
      <w:bookmarkStart w:id="0" w:name="_GoBack"/>
      <w:bookmarkEnd w:id="0"/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 в населенном пункте </w:t>
      </w:r>
      <w:proofErr w:type="spellStart"/>
      <w:r>
        <w:rPr>
          <w:szCs w:val="28"/>
        </w:rPr>
        <w:t>Зауфа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0D1B72" w:rsidP="00E8304A">
            <w:pPr>
              <w:tabs>
                <w:tab w:val="left" w:pos="2100"/>
              </w:tabs>
              <w:jc w:val="both"/>
            </w:pPr>
            <w:r>
              <w:t>В северо-западной части населенного пункта примерно в 500 м на северо-запад от строящегося моста через р. Уфа</w:t>
            </w:r>
            <w:r w:rsidR="001727D7">
              <w:t xml:space="preserve"> в границах с северной стороны граница населенного пункта, западной и южной сторон зона затопления паводковыми водами 1 % обеспеченности</w:t>
            </w:r>
            <w:proofErr w:type="gramStart"/>
            <w:r w:rsidR="001727D7">
              <w:t>.</w:t>
            </w:r>
            <w:r w:rsidR="00A042B8">
              <w:t>.</w:t>
            </w:r>
            <w:proofErr w:type="gramEnd"/>
          </w:p>
        </w:tc>
        <w:tc>
          <w:tcPr>
            <w:tcW w:w="4359" w:type="dxa"/>
          </w:tcPr>
          <w:p w:rsidR="00A042B8" w:rsidRPr="00DF0AEC" w:rsidRDefault="00A042B8" w:rsidP="00E8304A">
            <w:pPr>
              <w:jc w:val="both"/>
            </w:pPr>
            <w:r>
              <w:rPr>
                <w:szCs w:val="28"/>
              </w:rPr>
              <w:t>Зону</w:t>
            </w:r>
            <w:r w:rsidRPr="009825BC">
              <w:rPr>
                <w:szCs w:val="28"/>
              </w:rPr>
              <w:t xml:space="preserve"> </w:t>
            </w:r>
            <w:r w:rsidR="007B00F8">
              <w:rPr>
                <w:szCs w:val="28"/>
              </w:rPr>
              <w:t>открытого природного ландшафта (индекс «Р-4</w:t>
            </w:r>
            <w:r w:rsidR="001727D7">
              <w:rPr>
                <w:szCs w:val="28"/>
              </w:rPr>
              <w:t>»)  в зону объектов санаторно-курортного лечения, отдыха и туризма (индекс «Р</w:t>
            </w:r>
            <w:r>
              <w:rPr>
                <w:szCs w:val="28"/>
              </w:rPr>
              <w:t>-2»).</w:t>
            </w:r>
          </w:p>
          <w:p w:rsidR="00A042B8" w:rsidRPr="00DF0AEC" w:rsidRDefault="00A042B8" w:rsidP="00E8304A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sectPr w:rsidR="00A042B8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935FC"/>
    <w:rsid w:val="000D1B72"/>
    <w:rsid w:val="000F4E44"/>
    <w:rsid w:val="0010033E"/>
    <w:rsid w:val="00102581"/>
    <w:rsid w:val="00130826"/>
    <w:rsid w:val="001727D7"/>
    <w:rsid w:val="002110FE"/>
    <w:rsid w:val="00260104"/>
    <w:rsid w:val="00302764"/>
    <w:rsid w:val="00315D58"/>
    <w:rsid w:val="00373D06"/>
    <w:rsid w:val="0039592E"/>
    <w:rsid w:val="004B7EE0"/>
    <w:rsid w:val="004D4843"/>
    <w:rsid w:val="0054384E"/>
    <w:rsid w:val="00572BE2"/>
    <w:rsid w:val="005D6016"/>
    <w:rsid w:val="00672946"/>
    <w:rsid w:val="006F503E"/>
    <w:rsid w:val="007B00D3"/>
    <w:rsid w:val="007B00F8"/>
    <w:rsid w:val="00803C5F"/>
    <w:rsid w:val="00833B50"/>
    <w:rsid w:val="00884A36"/>
    <w:rsid w:val="009777AA"/>
    <w:rsid w:val="00A042B8"/>
    <w:rsid w:val="00A14A85"/>
    <w:rsid w:val="00A36817"/>
    <w:rsid w:val="00A42786"/>
    <w:rsid w:val="00A63808"/>
    <w:rsid w:val="00AE0B88"/>
    <w:rsid w:val="00BC30F5"/>
    <w:rsid w:val="00D124F5"/>
    <w:rsid w:val="00DE4853"/>
    <w:rsid w:val="00EB5789"/>
    <w:rsid w:val="00EE4129"/>
    <w:rsid w:val="00F04189"/>
    <w:rsid w:val="00F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20</cp:revision>
  <dcterms:created xsi:type="dcterms:W3CDTF">2014-04-14T05:54:00Z</dcterms:created>
  <dcterms:modified xsi:type="dcterms:W3CDTF">2014-05-05T04:03:00Z</dcterms:modified>
</cp:coreProperties>
</file>