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6146" w:rsidRDefault="00D16146" w:rsidP="00D16146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D16146">
        <w:rPr>
          <w:rFonts w:ascii="Times New Roman" w:hAnsi="Times New Roman" w:cs="Times New Roman"/>
          <w:color w:val="0070C0"/>
          <w:sz w:val="32"/>
          <w:szCs w:val="32"/>
        </w:rPr>
        <w:t>МинЖКХ</w:t>
      </w:r>
      <w:proofErr w:type="spellEnd"/>
      <w:r w:rsidRPr="00D16146">
        <w:rPr>
          <w:rFonts w:ascii="Times New Roman" w:hAnsi="Times New Roman" w:cs="Times New Roman"/>
          <w:color w:val="0070C0"/>
          <w:sz w:val="32"/>
          <w:szCs w:val="32"/>
        </w:rPr>
        <w:t xml:space="preserve"> разъяснило порядок оплаты услуги по вывозу ТКО</w:t>
      </w: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46">
        <w:rPr>
          <w:rFonts w:ascii="Times New Roman" w:hAnsi="Times New Roman" w:cs="Times New Roman"/>
          <w:sz w:val="28"/>
          <w:szCs w:val="28"/>
        </w:rPr>
        <w:t>Региональное министерство энергетики и ЖКХ дало разъяснение о порядке оплаты услуг по обращению с твердыми коммунальными услугами (ТКО)</w:t>
      </w:r>
      <w:r w:rsidR="004F51B7">
        <w:rPr>
          <w:rFonts w:ascii="Times New Roman" w:hAnsi="Times New Roman" w:cs="Times New Roman"/>
          <w:sz w:val="28"/>
          <w:szCs w:val="28"/>
        </w:rPr>
        <w:t>.</w:t>
      </w: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46">
        <w:rPr>
          <w:rFonts w:ascii="Times New Roman" w:hAnsi="Times New Roman" w:cs="Times New Roman"/>
          <w:sz w:val="28"/>
          <w:szCs w:val="28"/>
        </w:rPr>
        <w:t xml:space="preserve">С 1 января 2019 года, напомнили в ведомстве, услуга по вывозу и захоронению ТКО поменяла свой статус и перешла из категории </w:t>
      </w:r>
      <w:proofErr w:type="gramStart"/>
      <w:r w:rsidRPr="00D16146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Pr="00D16146">
        <w:rPr>
          <w:rFonts w:ascii="Times New Roman" w:hAnsi="Times New Roman" w:cs="Times New Roman"/>
          <w:sz w:val="28"/>
          <w:szCs w:val="28"/>
        </w:rPr>
        <w:t xml:space="preserve"> в коммунальные. Исходя из этого, порядок ее оказания и оплаты стал регулироваться теми же нормативно-правовыми актами, которые действуют в отношении всех коммунальных услуг – Жилищным кодексом РФ и установленными на федеральном уровне Правилами предоставления коммунальных услуг собственникам и пользователям помещений в многоквартирных домах и жилых домов (Правила № 354).</w:t>
      </w: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46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документами, порядок оплаты новой коммунальной услуги определяется субъектом РФ и может устанавливаться либо в зависимости от общей площади жилого помещения, либо от количества постоянно и временно проживающих в жилом помещении граждан.</w:t>
      </w: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46">
        <w:rPr>
          <w:rFonts w:ascii="Times New Roman" w:hAnsi="Times New Roman" w:cs="Times New Roman"/>
          <w:sz w:val="28"/>
          <w:szCs w:val="28"/>
        </w:rPr>
        <w:t>В Свердловской области, напомнили в министерстве, принято решение о применении второго варианта. На основании него в качестве главной единицы измерения для домовладений принимается норматив накопления отходов на проживающего в жилом помещении человека. Как пояснял ранее глава ведомства Николай Смирнов, обусловлено это, как минимум двумя факторами – тем, что «мусор образуют не квадратные метры, а люди» и тем, что социальные льготы, которые за коммунальные услуги получает достаточно большое количество уральцев, также же «предоставляются не квартире, а конкретному гражданину».</w:t>
      </w: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46">
        <w:rPr>
          <w:rFonts w:ascii="Times New Roman" w:hAnsi="Times New Roman" w:cs="Times New Roman"/>
          <w:sz w:val="28"/>
          <w:szCs w:val="28"/>
        </w:rPr>
        <w:t>Здесь же отметили, что в случае самостоятельной сортировки и раздельного складирования отходов потребители вправе оплачивать вывоз мусора не по нормативу, а исходя из фактического объема накопления и количества задействованных для этих целей контейнеров.</w:t>
      </w: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46">
        <w:rPr>
          <w:rFonts w:ascii="Times New Roman" w:hAnsi="Times New Roman" w:cs="Times New Roman"/>
          <w:sz w:val="28"/>
          <w:szCs w:val="28"/>
        </w:rPr>
        <w:t xml:space="preserve">Что касается непосредственных платежей, они по договорам </w:t>
      </w:r>
      <w:proofErr w:type="spellStart"/>
      <w:r w:rsidRPr="00D16146"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D16146">
        <w:rPr>
          <w:rFonts w:ascii="Times New Roman" w:hAnsi="Times New Roman" w:cs="Times New Roman"/>
          <w:sz w:val="28"/>
          <w:szCs w:val="28"/>
        </w:rPr>
        <w:t xml:space="preserve"> с региональными операторами будут осуществляться через уполномоченные расчетные центры. Первые квитанции поступят жителям уже в конце </w:t>
      </w:r>
      <w:proofErr w:type="gramStart"/>
      <w:r w:rsidRPr="00D16146">
        <w:rPr>
          <w:rFonts w:ascii="Times New Roman" w:hAnsi="Times New Roman" w:cs="Times New Roman"/>
          <w:sz w:val="28"/>
          <w:szCs w:val="28"/>
        </w:rPr>
        <w:t>января–начале</w:t>
      </w:r>
      <w:proofErr w:type="gramEnd"/>
      <w:r w:rsidRPr="00D16146">
        <w:rPr>
          <w:rFonts w:ascii="Times New Roman" w:hAnsi="Times New Roman" w:cs="Times New Roman"/>
          <w:sz w:val="28"/>
          <w:szCs w:val="28"/>
        </w:rPr>
        <w:t xml:space="preserve"> февраля и в подавляющем большинстве это будут документы ЕРЦ, Расчетного центра Урала и </w:t>
      </w:r>
      <w:proofErr w:type="spellStart"/>
      <w:r w:rsidRPr="00D16146">
        <w:rPr>
          <w:rFonts w:ascii="Times New Roman" w:hAnsi="Times New Roman" w:cs="Times New Roman"/>
          <w:sz w:val="28"/>
          <w:szCs w:val="28"/>
        </w:rPr>
        <w:t>Свердловэнергосбыта</w:t>
      </w:r>
      <w:proofErr w:type="spellEnd"/>
      <w:r w:rsidRPr="00D16146">
        <w:rPr>
          <w:rFonts w:ascii="Times New Roman" w:hAnsi="Times New Roman" w:cs="Times New Roman"/>
          <w:sz w:val="28"/>
          <w:szCs w:val="28"/>
        </w:rPr>
        <w:t>.</w:t>
      </w: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46" w:rsidRPr="00D16146" w:rsidRDefault="00D16146" w:rsidP="00D1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146">
        <w:rPr>
          <w:rFonts w:ascii="Times New Roman" w:hAnsi="Times New Roman" w:cs="Times New Roman"/>
          <w:sz w:val="28"/>
          <w:szCs w:val="28"/>
        </w:rPr>
        <w:t xml:space="preserve">«Для прозрачности расчетов и удобства граждан счет за ТКО в них будет не просто выделен в отдельную строку, но и дополнительно обозначен собственным </w:t>
      </w:r>
      <w:proofErr w:type="spellStart"/>
      <w:r w:rsidRPr="00D16146">
        <w:rPr>
          <w:rFonts w:ascii="Times New Roman" w:hAnsi="Times New Roman" w:cs="Times New Roman"/>
          <w:sz w:val="28"/>
          <w:szCs w:val="28"/>
        </w:rPr>
        <w:t>штрих-кодом</w:t>
      </w:r>
      <w:proofErr w:type="spellEnd"/>
      <w:r w:rsidRPr="00D16146">
        <w:rPr>
          <w:rFonts w:ascii="Times New Roman" w:hAnsi="Times New Roman" w:cs="Times New Roman"/>
          <w:sz w:val="28"/>
          <w:szCs w:val="28"/>
        </w:rPr>
        <w:t>» – подчеркнули специалисты.</w:t>
      </w:r>
      <w:proofErr w:type="gramEnd"/>
    </w:p>
    <w:sectPr w:rsidR="00D16146" w:rsidRPr="00D1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146"/>
    <w:rsid w:val="004F51B7"/>
    <w:rsid w:val="00D1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2019-01-25T03:35:00Z</dcterms:created>
  <dcterms:modified xsi:type="dcterms:W3CDTF">2019-01-25T03:40:00Z</dcterms:modified>
</cp:coreProperties>
</file>