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A37">
        <w:rPr>
          <w:b/>
          <w:sz w:val="28"/>
          <w:szCs w:val="28"/>
        </w:rPr>
        <w:t xml:space="preserve"> </w:t>
      </w:r>
      <w:r w:rsidR="00111359">
        <w:rPr>
          <w:b/>
          <w:sz w:val="28"/>
          <w:szCs w:val="28"/>
        </w:rPr>
        <w:t>19</w:t>
      </w:r>
      <w:r w:rsidR="001E69FC">
        <w:rPr>
          <w:b/>
          <w:sz w:val="28"/>
          <w:szCs w:val="28"/>
        </w:rPr>
        <w:t>.</w:t>
      </w:r>
      <w:r w:rsidR="00111359">
        <w:rPr>
          <w:b/>
          <w:sz w:val="28"/>
          <w:szCs w:val="28"/>
        </w:rPr>
        <w:t>03</w:t>
      </w:r>
      <w:r w:rsidR="001E69FC">
        <w:rPr>
          <w:b/>
          <w:sz w:val="28"/>
          <w:szCs w:val="28"/>
        </w:rPr>
        <w:t>.201</w:t>
      </w:r>
      <w:r w:rsidR="00111359">
        <w:rPr>
          <w:b/>
          <w:sz w:val="28"/>
          <w:szCs w:val="28"/>
        </w:rPr>
        <w:t>8</w:t>
      </w:r>
      <w:r w:rsidR="00643E3C">
        <w:rPr>
          <w:b/>
          <w:sz w:val="28"/>
          <w:szCs w:val="28"/>
        </w:rPr>
        <w:t xml:space="preserve"> г. № </w:t>
      </w:r>
      <w:r w:rsidR="00111359">
        <w:rPr>
          <w:b/>
          <w:sz w:val="28"/>
          <w:szCs w:val="28"/>
        </w:rPr>
        <w:t>219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на </w:t>
      </w:r>
      <w:r w:rsidR="00111359">
        <w:rPr>
          <w:b/>
          <w:sz w:val="28"/>
          <w:szCs w:val="28"/>
        </w:rPr>
        <w:t>2</w:t>
      </w:r>
      <w:r w:rsidR="001E4309">
        <w:rPr>
          <w:b/>
          <w:sz w:val="28"/>
          <w:szCs w:val="28"/>
        </w:rPr>
        <w:t>-й квартал 201</w:t>
      </w:r>
      <w:r w:rsidR="00B14A37">
        <w:rPr>
          <w:b/>
          <w:sz w:val="28"/>
          <w:szCs w:val="28"/>
        </w:rPr>
        <w:t>8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</w:t>
      </w:r>
      <w:proofErr w:type="gramEnd"/>
      <w:r w:rsidR="00E738FF">
        <w:rPr>
          <w:sz w:val="28"/>
          <w:szCs w:val="28"/>
        </w:rPr>
        <w:t xml:space="preserve"> </w:t>
      </w:r>
      <w:proofErr w:type="gramStart"/>
      <w:r w:rsidR="00E738FF">
        <w:rPr>
          <w:sz w:val="28"/>
          <w:szCs w:val="28"/>
        </w:rPr>
        <w:t>рекомендаций</w:t>
      </w:r>
      <w:r w:rsidR="00C86B0C">
        <w:rPr>
          <w:sz w:val="28"/>
          <w:szCs w:val="28"/>
        </w:rPr>
        <w:t xml:space="preserve">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</w:t>
      </w:r>
      <w:proofErr w:type="gramEnd"/>
      <w:r w:rsidR="00435F98">
        <w:rPr>
          <w:sz w:val="28"/>
          <w:szCs w:val="28"/>
        </w:rPr>
        <w:t xml:space="preserve"> образования Красноуфимский округ.</w:t>
      </w:r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</w:t>
      </w:r>
      <w:r w:rsidR="00A35222">
        <w:rPr>
          <w:sz w:val="28"/>
          <w:szCs w:val="28"/>
        </w:rPr>
        <w:t>2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B14A37">
        <w:rPr>
          <w:sz w:val="28"/>
          <w:szCs w:val="28"/>
        </w:rPr>
        <w:t>8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>35 005</w:t>
      </w:r>
      <w:r w:rsidR="008476E3">
        <w:rPr>
          <w:sz w:val="28"/>
          <w:szCs w:val="28"/>
        </w:rPr>
        <w:t xml:space="preserve"> руб.</w:t>
      </w:r>
      <w:r w:rsidR="00350FD9">
        <w:rPr>
          <w:sz w:val="28"/>
          <w:szCs w:val="28"/>
        </w:rPr>
        <w:t>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 xml:space="preserve">18 275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B62A33">
        <w:rPr>
          <w:sz w:val="28"/>
          <w:szCs w:val="28"/>
        </w:rPr>
        <w:t xml:space="preserve"> 32 436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736D9">
        <w:rPr>
          <w:sz w:val="28"/>
          <w:szCs w:val="28"/>
        </w:rPr>
        <w:t xml:space="preserve">                               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B14A37" w:rsidP="00C61BCB">
      <w:pPr>
        <w:ind w:right="55"/>
        <w:jc w:val="right"/>
      </w:pPr>
      <w:r>
        <w:t xml:space="preserve">   </w:t>
      </w:r>
      <w:r w:rsidR="00052D47">
        <w:t xml:space="preserve"> </w:t>
      </w:r>
      <w:r w:rsidR="00C61BCB" w:rsidRPr="008B14B0">
        <w:t>от</w:t>
      </w:r>
      <w:r w:rsidR="0032384C">
        <w:t xml:space="preserve"> </w:t>
      </w:r>
      <w:r w:rsidR="00A35222">
        <w:t>19</w:t>
      </w:r>
      <w:r w:rsidR="00C61BCB">
        <w:t>.</w:t>
      </w:r>
      <w:r w:rsidR="00A35222">
        <w:t>03</w:t>
      </w:r>
      <w:r w:rsidR="00C61BCB">
        <w:t>.201</w:t>
      </w:r>
      <w:r w:rsidR="00A35222">
        <w:t>8</w:t>
      </w:r>
      <w:r w:rsidR="00C61BCB" w:rsidRPr="008B14B0">
        <w:t xml:space="preserve"> года</w:t>
      </w:r>
      <w:r>
        <w:t xml:space="preserve"> № </w:t>
      </w:r>
      <w:r w:rsidR="00A35222">
        <w:t>219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</w:t>
      </w:r>
      <w:proofErr w:type="spellStart"/>
      <w:r w:rsidRPr="007910DA">
        <w:t>Красноуфимский</w:t>
      </w:r>
      <w:proofErr w:type="spellEnd"/>
      <w:r w:rsidRPr="007910DA">
        <w:t xml:space="preserve"> округ</w:t>
      </w:r>
      <w:r w:rsidR="00B14A37">
        <w:t xml:space="preserve">, </w:t>
      </w:r>
    </w:p>
    <w:p w:rsidR="00C61BCB" w:rsidRDefault="00C61BCB" w:rsidP="00C61BCB">
      <w:pPr>
        <w:ind w:right="55"/>
        <w:jc w:val="center"/>
      </w:pPr>
      <w:r>
        <w:t>на вторичном рынке</w:t>
      </w:r>
      <w:r w:rsidR="00B14A37">
        <w:t xml:space="preserve"> </w:t>
      </w:r>
      <w:r>
        <w:t xml:space="preserve">на </w:t>
      </w:r>
      <w:r w:rsidR="00A35222">
        <w:t>2</w:t>
      </w:r>
      <w:r>
        <w:t xml:space="preserve">-й  квартал </w:t>
      </w:r>
      <w:r w:rsidRPr="007910DA">
        <w:t>20</w:t>
      </w:r>
      <w:r>
        <w:t>1</w:t>
      </w:r>
      <w:r w:rsidR="00B14A37">
        <w:t>8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DD1FF2" w:rsidRDefault="00DD1FF2" w:rsidP="00994C8A"/>
    <w:sectPr w:rsidR="00DD1FF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6612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8A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0E30-BCA3-4AC3-A894-C578E6F5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29</cp:revision>
  <cp:lastPrinted>2018-03-26T09:27:00Z</cp:lastPrinted>
  <dcterms:created xsi:type="dcterms:W3CDTF">2016-07-05T04:23:00Z</dcterms:created>
  <dcterms:modified xsi:type="dcterms:W3CDTF">2018-03-28T03:40:00Z</dcterms:modified>
</cp:coreProperties>
</file>