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A1" w:rsidRPr="00C51FA1" w:rsidRDefault="00C51FA1" w:rsidP="00C51FA1">
      <w:pPr>
        <w:pBdr>
          <w:bottom w:val="single" w:sz="6" w:space="0" w:color="B9B9B9"/>
        </w:pBdr>
        <w:shd w:val="clear" w:color="auto" w:fill="FFFFFF"/>
        <w:spacing w:after="0" w:line="317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C51FA1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Информация о специальных налоговых режимах и действующих по ним в Свердловской области налоговых преференциях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Tahoma" w:eastAsia="Times New Roman" w:hAnsi="Tahoma" w:cs="Tahoma"/>
          <w:color w:val="888888"/>
          <w:sz w:val="15"/>
          <w:szCs w:val="15"/>
          <w:bdr w:val="none" w:sz="0" w:space="0" w:color="auto" w:frame="1"/>
          <w:lang w:eastAsia="ru-RU"/>
        </w:rPr>
        <w:t>1 июля 2016 8:44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Единый налог на вмененный доход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Регламентируется главой 26.3 Налогового кодекса Российской Федерации.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ЕНВД вводится в действие нормативными правовыми актами представительных органов муниципальных образований и может применяться в отношении видов деятельности, установленных ст. 346.26 НК РФ.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Налогоплательщики</w:t>
      </w: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(ст. 346.28)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Москвы, Санкт-Петербурга и Севастополя, в которых введен ЕНВД, предпринимательскую деятельность, облагаемую ЕНВД, и перешедшие на уплату ЕНВД в порядке, установленном гл. 26.3 Налогового Кодекса Российской Федерации.</w:t>
      </w:r>
      <w:proofErr w:type="gramEnd"/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Условия применения ЕНВД организациями: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среднесписочная численность работников не более 100 человек;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доля участия других организаций составляет не более 25 процентов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Условия применения ЕНВД индивидуальными предпринимателями: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среднесписочная численность работников не более 100 человек;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- 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не осуществляют услуги по передаче во временное владение и (или) пользование автозаправочных станций и </w:t>
      </w:r>
      <w:proofErr w:type="spell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автогазозаправочных</w:t>
      </w:r>
      <w:proofErr w:type="spellEnd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 станций.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Объектом налогообложения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признается вмененный доход налогоплательщика.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При этом </w:t>
      </w: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налоговой базой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для исчисления суммы единого налога признается величина этого вмененного дохода.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Налоговая база корректируется на коэффициент-дефлятор К</w:t>
      </w: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1</w:t>
      </w:r>
      <w:proofErr w:type="gramEnd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 и вышеупомянутый коэффициент К2.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Коэффициент К</w:t>
      </w: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1</w:t>
      </w:r>
      <w:proofErr w:type="gramEnd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 устанавливается на календарный год приказом Министерства экономического развития Российской Федерации.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В 2016 году значение коэффициента К</w:t>
      </w: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1</w:t>
      </w:r>
      <w:proofErr w:type="gramEnd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 осталось на уровне 2015 года и составляет 1,798 (приказ Министерства экономического развития Российской Федерации от 20.10.2015 № 772).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Значение корректирующего коэффициента К</w:t>
      </w: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2</w:t>
      </w:r>
      <w:proofErr w:type="gramEnd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 устанавливается представительными органами муниципальных районов, городских округов, с учетом ассортимента товаров (работ, услуг), сезонности, времени работы, величины доходов и иных особенностей ведения предпринимательской деятельности.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Налоговая ставка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составляет 15% от налоговой базы (базовая доходность с учетом корректирующих коэффициентов и физических показателей, характеризующих вид деятельности).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Налоговым периодом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признается квартал.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Освобождение организаций от уплаты: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прибыль организаций (в отношении прибыли, полученной от предпринимательской деятельности, облагаемой единым налогом),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имущество организаций (в отношении имущества, используемого для ведения предпринимательской деятельности, облагаемой единым налогом),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добавленную стоимость.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Освобождение индивидуальных предпринимателей от уплаты: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доходы физических лиц (в отношении доходов, полученных от предпринимательской деятельности, облагаемой единым налогом),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имущество физических лиц (в отношении имущества, используемого для осуществления предпринимательской деятельности, облагаемой единым налогом),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добавленную стоимость.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Уменьшение суммы налога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Сумма единого налога, исчисленная за налоговый период, уменьшается на сумму: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lastRenderedPageBreak/>
        <w:t>1) страховых взносов на обязательное пенсионное страхование, обязательное социальное страхование на случай временной нетрудоспособности и в связи с 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в данном налоговом периоде в соответствии с законодательством Российской Федерации при выплате налогоплательщиком вознаграждений работникам;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3) платежей (взносов) по договорам добровольного личного страхования, заключенным со страховыми организациями, имеющими лицензии.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Упрощенная система налогообложения.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Регламентируется главой 26.2 Налогового кодекса Российской Федерации.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Налогоплательщики УСН:</w:t>
      </w:r>
    </w:p>
    <w:p w:rsidR="00C51FA1" w:rsidRPr="00C51FA1" w:rsidRDefault="00C51FA1" w:rsidP="00C51FA1">
      <w:pPr>
        <w:numPr>
          <w:ilvl w:val="0"/>
          <w:numId w:val="1"/>
        </w:numPr>
        <w:shd w:val="clear" w:color="auto" w:fill="FFFFFF"/>
        <w:spacing w:after="0" w:line="238" w:lineRule="atLeast"/>
        <w:ind w:left="450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Организации </w:t>
      </w: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(если по итогам девяти месяцев того года, в котором организация подает уведомление о переходе на упрощенную систему налогообложения, доходы, определяемые в соответствии со статьей 248 Налогового Кодекса РФ, не превысили 45,0 млн. рублей (59,8 млн. руб. с учетом индексации на коэффициент-дефлятор, установленный на 2016 год приказом Министерства экономического развития Российской Федерации, в размере 1,329).</w:t>
      </w:r>
      <w:proofErr w:type="gramEnd"/>
    </w:p>
    <w:p w:rsidR="00C51FA1" w:rsidRPr="00C51FA1" w:rsidRDefault="00C51FA1" w:rsidP="00C51FA1">
      <w:pPr>
        <w:numPr>
          <w:ilvl w:val="0"/>
          <w:numId w:val="1"/>
        </w:numPr>
        <w:shd w:val="clear" w:color="auto" w:fill="FFFFFF"/>
        <w:spacing w:after="0" w:line="238" w:lineRule="atLeast"/>
        <w:ind w:left="450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Индивидуальные предприниматели.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Условия применения УСН:</w:t>
      </w:r>
    </w:p>
    <w:p w:rsidR="00C51FA1" w:rsidRPr="00C51FA1" w:rsidRDefault="00C51FA1" w:rsidP="00C51FA1">
      <w:pPr>
        <w:numPr>
          <w:ilvl w:val="0"/>
          <w:numId w:val="2"/>
        </w:numPr>
        <w:shd w:val="clear" w:color="auto" w:fill="FFFFFF"/>
        <w:spacing w:after="0" w:line="238" w:lineRule="atLeast"/>
        <w:ind w:left="450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средняя численность работников не превышает 100 человек;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2) доходы налогоплательщика по итогам отчетного (налогового) периода не превышают 60,0 млн. руб. (</w:t>
      </w: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79,7 млн. руб. с учетом индексации на коэффициент-дефлятор, установленный на 2016 год приказом Министерства экономического развития Российской Федерации, в размере 1,329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);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3) не переведенные на ЕСХН;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4) не </w:t>
      </w: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занимающиеся</w:t>
      </w:r>
      <w:proofErr w:type="gramEnd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 производством подакцизных товаров, добычей и реализацией полезных ископаемых, за исключением общераспространенных, игорным бизнесом.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Объект налогообложения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по упрощенной системе налогообложения предусмотрен в двух разных вариантах: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доходы;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доходы, уменьшенные на величину расходов.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Право выбора объекта принадлежит налогоплательщику.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Налоговая база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и ставка налога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зависит от выбранного налогоплательщиком объекта и соответственно устанавливается как денежное выражение: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доходов (6%);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доходов, уменьшенных на величину расходов (от 5% до 15%. Предусмотрена дифференциация ставок законами субъектов РФ).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В соответствии с Законом Свердловской области от 15.06.2009 № 31-ОЗ 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 для налогоплательщиков, выбравших в качестве объекта налогообложения «доходы минус расходы», установлены дифференцированные ставки в зависимости от видов деятельности в размере 5% (по 50 видам), по остальным видам деятельности - 7 %.</w:t>
      </w:r>
      <w:proofErr w:type="gramEnd"/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«Налоговые каникулы»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С 2015 года до 1 января 2021 года для 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впервые зарегистрированных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индивидуальных предпринимателей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, осуществляющих деятельность в производственной, научной и социальной сферах, установлена налоговая ставка</w:t>
      </w:r>
      <w:proofErr w:type="gramStart"/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0</w:t>
      </w:r>
      <w:proofErr w:type="gramEnd"/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процентов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для применения 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непрерывно в течение двух лет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Полный перечень льготных видов деятельности размещен на сайте Министерства экономики Свердловской области в разделе «Налоговая политика».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Налоговым периодом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является</w:t>
      </w: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календарный год.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Освобождение организаций от уплаты: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прибыль организаций (за исключением налога, уплачиваемого с доходов, облагаемых по налоговым ставкам, предусмотренным пунктами 1.6, 3 и 4 статьи 284 Налогового кодекса),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lastRenderedPageBreak/>
        <w:t>- налога на имущество организаций (за исключением налога, уплачиваемого в отношении объектов недвижимого имущества, налоговая база по которым определяется как их кадастровая стоимость в соответствии с Налоговым кодексом),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добавленную стоимость.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Освобождение индивидуальных предпринимателей от уплаты: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доходы физических лиц (в отношении доходов, полученных от предпринимательской деятельности),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имущество физических лиц в отношении имущества, используемого для предпринимательской деятельности),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добавленную стоимость.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Уменьшение суммы налога при объекте налогообложения «доходы»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Налогоплательщики, выбравшие в качестве объекта налогообложения доходы, могут уменьшить сумму налога (авансовых платежей по налогу), исчисленную за налоговый (отчетный) период, на сумму: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1) страховых взносов на обязательное пенсионное страхование, обязательное социальное страхование;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2) расходов по выплате в соответствии с законодательством Российской Федерации пособия по временной нетрудоспособности;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3) платежей (взносов) по договорам добровольного личного страхования, заключенным со страховыми организациями, имеющими лицензии.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Патентная система налогообложения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Регламентируется главой 26.5 Налогового кодекса Российской Федерации.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На территории Свердловской области патентная система налогообложения введена в действие 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Законом Свердловской области от 21.11.2012 № 87-ОЗ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«О 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 (далее – Закон Свердловской области).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Налогоплательщики ПСН</w:t>
      </w: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(ст. 346.44)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Индивидуальные предприниматели, осуществляющие виды деятельности, предусмотренные Налоговым кодексом и региональным законом.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Всего Законом Свердловской области предусмотрено применение патентной системы налогообложения по 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72 видам деятельности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Условия применения ПСН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1)      средняя численность наемных работников, которая не должна превышать за налоговый период 15 человек;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2)      доходы налогоплательщика от реализации по всем видам предпринимательской деятельности (в отношении которых применяется патентная система налогообложения), которые не должны превышать 60 млн. рублей.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Налоговая база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определяется как денежное выражение потенциально возможного к получению индивидуальным предпринимателем годового дохода, устанавливаемого на календарный год законом субъекта Российской Федерации.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Налоговая ставка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устанавливается в размере 6 процентов от потенциально возможного к получению индивидуальными предпринимателями годового дохода (налоговой базы). Законом Свердловской области дифференцированы размеры годового дохода в зависимости от вида осуществляемой деятельности и величины физического показателя (количества наемных работников, обособленных объектов, площадей, транспортных средств).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Освобождение от уплаты налогов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•       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•       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объектов, налоговая база по которым определяется как кадастровая стоимость);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•        НДС (за исключением НДС, подлежащего уплате при осуществлении видов предпринимательской деятельности, в отношении которых не применяется патентная система налогообложения; при ввозе товаров на территорию Российской Федерации и иные территории, находящиеся под ее юрисдикцией; при осуществлении операций, облагаемых в соответствии со статьей 174.1 НК РФ).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Сроки уплаты налога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lastRenderedPageBreak/>
        <w:t>Патент выдается по выбору индивидуального предпринимателя на период от 1 до 12 месяцев включительно в пределах календарного года.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Если патент выдан на срок до 6 месяцев, то налог уплачивается в полном размере в срок не позднее срока окончания действия патента.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Если патент выдан на срок от 6 до 12 месяцев, то оплата налога производится в два этапа: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в размере 1/3 суммы налога в срок не позднее девяноста календарных дней после начала действия патента;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в размере 2/3 суммы налога в срок не позднее срока окончания действия патента.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На сайте Управления федеральной налоговой службы по Свердловской области можно произвести расчёт стоимости патента (</w:t>
      </w:r>
      <w:hyperlink r:id="rId6" w:history="1">
        <w:r w:rsidRPr="00C51FA1">
          <w:rPr>
            <w:rFonts w:ascii="inherit" w:eastAsia="Times New Roman" w:hAnsi="inherit" w:cs="Tahoma"/>
            <w:color w:val="AE0016"/>
            <w:sz w:val="18"/>
            <w:szCs w:val="18"/>
            <w:u w:val="single"/>
            <w:bdr w:val="none" w:sz="0" w:space="0" w:color="auto" w:frame="1"/>
            <w:lang w:eastAsia="ru-RU"/>
          </w:rPr>
          <w:t>http://213.24.61.117/patent/patent.html</w:t>
        </w:r>
      </w:hyperlink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).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Для получения патента индивидуальному предпринимателю необходимо обратиться в налоговый орган по месту жительства не позднее, чем за 10 дней до начала применения патентной системы налогообложения.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«Налоговые каникулы»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С 2015 года по 1 января 2021 года для 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впервые зарегистрированных индивидуальных предпринимателей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, осуществляющих деятельность в производственной, социальной сферах, а также сфере бытовых услуг, установлена налоговая ставка 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0 процентов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для применения </w:t>
      </w: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непрерывно не более двух лет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.</w:t>
      </w:r>
      <w:proofErr w:type="gramEnd"/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Полный перечень льготных видов деятельности размещен на сайте Министерства экономики Свердловской области в разделе «Налоговая политика».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Единый сельскохозяйственный налог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Регламентируется главой 26.1 Налогового кодекса Российской Федерации.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Организации и индивидуальные предприниматели, являющиеся сельскохозяйственными товаропроизводителями вправе добровольно перейти на уплату единого сельскохозяйственного налога.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Налогоплательщики</w:t>
      </w:r>
      <w:r w:rsidRPr="00C51FA1">
        <w:rPr>
          <w:rFonts w:ascii="inherit" w:eastAsia="Times New Roman" w:hAnsi="inherit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(Статья 346.2):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1. Организации и индивидуальные предприниматели, являющиеся сельскохозяйственными товаропроизводителями и перешедшие на уплату единого сельскохозяйственного налога в порядке, установленном настоящей главой.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2. </w:t>
      </w:r>
      <w:proofErr w:type="gramStart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Сельскохозяйственными 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 первичной переработки, произведенную ими из</w:t>
      </w:r>
      <w:proofErr w:type="gramEnd"/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 xml:space="preserve"> сельскохозяйственного сырья собственного производства, составляет не менее 70 процентов, а также сельскохозяйственные потребительские кооперативы.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Ограничения применения ЕСХН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Не вправе переходить на уплату единого сельскохозяйственного налога: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организации и индивидуальные предприниматели, занимающиеся производством подакцизных товаров;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организации, осуществляющие деятельность по организации и проведению азартных игр;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казенные, бюджетные и автономные учреждения.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Объектом налогообложения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признаются доходы, уменьшенные на величину расходов.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Налоговой базой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признается денежное выражение доходов, уменьшенных на величину расходов.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Пунктом 2 ст. 346.5 НК РФ определены расходы, на которые могут быть уменьшены доходы налогоплательщика, в том числе страховые взносы по всем видам обязательного страхования.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Порядок исчисления налога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Единый сельскохозяйственный налог исчисляется как соответствующая налоговой ставке процентная доля налоговой базы.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Налоговая ставка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устанавливается в размере 6 процентов.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Налоговым периодом</w:t>
      </w: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признается календарный год.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Освобождение организаций от уплаты: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прибыль организаций,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lastRenderedPageBreak/>
        <w:t>- налога на имущество организаций,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 добавленную стоимость.</w:t>
      </w:r>
    </w:p>
    <w:p w:rsidR="00C51FA1" w:rsidRPr="00C51FA1" w:rsidRDefault="00C51FA1" w:rsidP="00C51FA1">
      <w:pPr>
        <w:shd w:val="clear" w:color="auto" w:fill="FFFFFF"/>
        <w:spacing w:after="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Освобождение индивидуальных предпринимателей от уплаты: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доходы физических лиц;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имущество физических лиц;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- налога на добавленную стоимость.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Организации и индивидуальные предприниматели, являющиеся налогоплательщиками единого сельскохозяйственного налога, не освобождаются от исполнения предусмотренных Налоговым Кодексом РФ обязанностей налоговых агентов, а также обязанностей контролирующих лиц контролируемых иностранных компаний</w:t>
      </w:r>
    </w:p>
    <w:p w:rsidR="00C51FA1" w:rsidRPr="00C51FA1" w:rsidRDefault="00C51FA1" w:rsidP="00C51FA1">
      <w:pPr>
        <w:shd w:val="clear" w:color="auto" w:fill="FFFFFF"/>
        <w:spacing w:after="150" w:line="23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  <w:lang w:eastAsia="ru-RU"/>
        </w:rPr>
      </w:pPr>
      <w:r w:rsidRPr="00C51FA1">
        <w:rPr>
          <w:rFonts w:ascii="inherit" w:eastAsia="Times New Roman" w:hAnsi="inherit" w:cs="Tahoma"/>
          <w:color w:val="333333"/>
          <w:sz w:val="18"/>
          <w:szCs w:val="18"/>
          <w:lang w:eastAsia="ru-RU"/>
        </w:rPr>
        <w:t> </w:t>
      </w:r>
    </w:p>
    <w:p w:rsidR="00170E89" w:rsidRDefault="00170E89">
      <w:bookmarkStart w:id="0" w:name="_GoBack"/>
      <w:bookmarkEnd w:id="0"/>
    </w:p>
    <w:sectPr w:rsidR="0017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688"/>
    <w:multiLevelType w:val="multilevel"/>
    <w:tmpl w:val="ED94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218C2"/>
    <w:multiLevelType w:val="multilevel"/>
    <w:tmpl w:val="19F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63"/>
    <w:rsid w:val="00112463"/>
    <w:rsid w:val="00170E89"/>
    <w:rsid w:val="00C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-date">
    <w:name w:val="content-date"/>
    <w:basedOn w:val="a0"/>
    <w:rsid w:val="00C51FA1"/>
  </w:style>
  <w:style w:type="paragraph" w:styleId="a3">
    <w:name w:val="Normal (Web)"/>
    <w:basedOn w:val="a"/>
    <w:uiPriority w:val="99"/>
    <w:semiHidden/>
    <w:unhideWhenUsed/>
    <w:rsid w:val="00C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FA1"/>
    <w:rPr>
      <w:b/>
      <w:bCs/>
    </w:rPr>
  </w:style>
  <w:style w:type="character" w:styleId="a5">
    <w:name w:val="Emphasis"/>
    <w:basedOn w:val="a0"/>
    <w:uiPriority w:val="20"/>
    <w:qFormat/>
    <w:rsid w:val="00C51FA1"/>
    <w:rPr>
      <w:i/>
      <w:iCs/>
    </w:rPr>
  </w:style>
  <w:style w:type="character" w:customStyle="1" w:styleId="apple-converted-space">
    <w:name w:val="apple-converted-space"/>
    <w:basedOn w:val="a0"/>
    <w:rsid w:val="00C51FA1"/>
  </w:style>
  <w:style w:type="character" w:styleId="a6">
    <w:name w:val="Hyperlink"/>
    <w:basedOn w:val="a0"/>
    <w:uiPriority w:val="99"/>
    <w:semiHidden/>
    <w:unhideWhenUsed/>
    <w:rsid w:val="00C51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-date">
    <w:name w:val="content-date"/>
    <w:basedOn w:val="a0"/>
    <w:rsid w:val="00C51FA1"/>
  </w:style>
  <w:style w:type="paragraph" w:styleId="a3">
    <w:name w:val="Normal (Web)"/>
    <w:basedOn w:val="a"/>
    <w:uiPriority w:val="99"/>
    <w:semiHidden/>
    <w:unhideWhenUsed/>
    <w:rsid w:val="00C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FA1"/>
    <w:rPr>
      <w:b/>
      <w:bCs/>
    </w:rPr>
  </w:style>
  <w:style w:type="character" w:styleId="a5">
    <w:name w:val="Emphasis"/>
    <w:basedOn w:val="a0"/>
    <w:uiPriority w:val="20"/>
    <w:qFormat/>
    <w:rsid w:val="00C51FA1"/>
    <w:rPr>
      <w:i/>
      <w:iCs/>
    </w:rPr>
  </w:style>
  <w:style w:type="character" w:customStyle="1" w:styleId="apple-converted-space">
    <w:name w:val="apple-converted-space"/>
    <w:basedOn w:val="a0"/>
    <w:rsid w:val="00C51FA1"/>
  </w:style>
  <w:style w:type="character" w:styleId="a6">
    <w:name w:val="Hyperlink"/>
    <w:basedOn w:val="a0"/>
    <w:uiPriority w:val="99"/>
    <w:semiHidden/>
    <w:unhideWhenUsed/>
    <w:rsid w:val="00C5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3.24.61.117/patent/pat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2168</Words>
  <Characters>12362</Characters>
  <Application>Microsoft Office Word</Application>
  <DocSecurity>0</DocSecurity>
  <Lines>103</Lines>
  <Paragraphs>29</Paragraphs>
  <ScaleCrop>false</ScaleCrop>
  <Company>Администрация городского округа Красноуральск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2016-07-05T02:42:00Z</dcterms:created>
  <dcterms:modified xsi:type="dcterms:W3CDTF">2016-07-05T02:47:00Z</dcterms:modified>
</cp:coreProperties>
</file>