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7" w:rsidRPr="0055791E" w:rsidRDefault="00A775B7" w:rsidP="001B4482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7" w:rsidRPr="0055791E" w:rsidRDefault="00A775B7" w:rsidP="00A775B7">
      <w:pPr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r w:rsidR="00B0720E">
        <w:rPr>
          <w:rFonts w:ascii="Liberation Serif" w:hAnsi="Liberation Serif" w:cs="Liberation Serif"/>
          <w:b/>
          <w:sz w:val="28"/>
          <w:szCs w:val="20"/>
        </w:rPr>
        <w:t>24</w:t>
      </w:r>
      <w:r w:rsidR="007A4507">
        <w:rPr>
          <w:rFonts w:ascii="Liberation Serif" w:hAnsi="Liberation Serif" w:cs="Liberation Serif"/>
          <w:b/>
          <w:sz w:val="28"/>
          <w:szCs w:val="20"/>
        </w:rPr>
        <w:t>.</w:t>
      </w:r>
      <w:r w:rsidRPr="0055791E">
        <w:rPr>
          <w:rFonts w:ascii="Liberation Serif" w:hAnsi="Liberation Serif" w:cs="Liberation Serif"/>
          <w:b/>
          <w:sz w:val="28"/>
          <w:szCs w:val="20"/>
        </w:rPr>
        <w:t>0</w:t>
      </w:r>
      <w:r w:rsidR="00004510" w:rsidRPr="00004510">
        <w:rPr>
          <w:rFonts w:ascii="Liberation Serif" w:hAnsi="Liberation Serif" w:cs="Liberation Serif"/>
          <w:b/>
          <w:sz w:val="28"/>
          <w:szCs w:val="20"/>
        </w:rPr>
        <w:t>4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.2020 г. № </w:t>
      </w:r>
      <w:r w:rsidR="00B0720E">
        <w:rPr>
          <w:rFonts w:ascii="Liberation Serif" w:hAnsi="Liberation Serif" w:cs="Liberation Serif"/>
          <w:b/>
          <w:sz w:val="28"/>
          <w:szCs w:val="20"/>
        </w:rPr>
        <w:t>239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775B7" w:rsidRPr="0055791E" w:rsidRDefault="00E02DCF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 w:val="28"/>
          <w:szCs w:val="28"/>
        </w:rPr>
        <w:t>ую программу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МО </w:t>
      </w:r>
      <w:bookmarkStart w:id="0" w:name="_GoBack"/>
      <w:bookmarkEnd w:id="0"/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>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B87398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E02DCF">
        <w:rPr>
          <w:rFonts w:ascii="Liberation Serif" w:hAnsi="Liberation Serif" w:cs="Liberation Serif"/>
          <w:sz w:val="28"/>
          <w:szCs w:val="28"/>
        </w:rPr>
        <w:t xml:space="preserve">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</w:t>
      </w:r>
      <w:r w:rsidR="00E02DCF">
        <w:rPr>
          <w:rFonts w:ascii="Liberation Serif" w:hAnsi="Liberation Serif" w:cs="Liberation Serif"/>
          <w:sz w:val="28"/>
          <w:szCs w:val="28"/>
        </w:rPr>
        <w:t>ации МО Красноуфимский округ от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года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Об утверждении Порядка формирования и реализации муниципальных программ и комплексных округ»  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16EC3" w:rsidRDefault="00E02DCF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C16EC3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 w:rsidR="00C16EC3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главы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Муниципально</w:t>
      </w:r>
      <w:r w:rsidR="00C16EC3">
        <w:rPr>
          <w:rFonts w:ascii="Liberation Serif" w:hAnsi="Liberation Serif" w:cs="Liberation Serif"/>
          <w:sz w:val="28"/>
          <w:szCs w:val="28"/>
        </w:rPr>
        <w:t>го образования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от 19.03.2020 г. </w:t>
      </w:r>
      <w:r w:rsidR="00380AB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16EC3" w:rsidRPr="00C16EC3">
        <w:rPr>
          <w:rFonts w:ascii="Liberation Serif" w:hAnsi="Liberation Serif" w:cs="Liberation Serif"/>
          <w:sz w:val="28"/>
          <w:szCs w:val="28"/>
        </w:rPr>
        <w:t>№ 152</w:t>
      </w:r>
      <w:r w:rsidR="00C16EC3">
        <w:rPr>
          <w:rFonts w:ascii="Liberation Serif" w:hAnsi="Liberation Serif" w:cs="Liberation Serif"/>
          <w:sz w:val="28"/>
          <w:szCs w:val="28"/>
        </w:rPr>
        <w:t xml:space="preserve"> «</w:t>
      </w:r>
      <w:r w:rsidR="0078734E">
        <w:rPr>
          <w:rFonts w:ascii="Liberation Serif" w:hAnsi="Liberation Serif" w:cs="Liberation Serif"/>
          <w:sz w:val="28"/>
          <w:szCs w:val="28"/>
        </w:rPr>
        <w:t>Об утверждении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1D6E20">
        <w:rPr>
          <w:rFonts w:ascii="Liberation Serif" w:hAnsi="Liberation Serif" w:cs="Liberation Serif"/>
          <w:sz w:val="28"/>
          <w:szCs w:val="28"/>
        </w:rPr>
        <w:t>ой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1D6E20">
        <w:rPr>
          <w:rFonts w:ascii="Liberation Serif" w:hAnsi="Liberation Serif" w:cs="Liberation Serif"/>
          <w:sz w:val="28"/>
          <w:szCs w:val="28"/>
        </w:rPr>
        <w:t>ы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</w:t>
      </w:r>
      <w:r w:rsidR="001D6E20">
        <w:rPr>
          <w:rFonts w:ascii="Liberation Serif" w:hAnsi="Liberation Serif" w:cs="Liberation Serif"/>
          <w:sz w:val="28"/>
          <w:szCs w:val="28"/>
        </w:rPr>
        <w:t>имский округ на 2020-2025 годы»</w:t>
      </w:r>
      <w:r w:rsidR="00431C27">
        <w:rPr>
          <w:rFonts w:ascii="Liberation Serif" w:hAnsi="Liberation Serif" w:cs="Liberation Serif"/>
          <w:sz w:val="28"/>
          <w:szCs w:val="28"/>
        </w:rPr>
        <w:t>,</w:t>
      </w:r>
      <w:r w:rsidR="00431C27" w:rsidRPr="00431C27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изложи</w:t>
      </w:r>
      <w:r w:rsidR="00431C27">
        <w:rPr>
          <w:rFonts w:ascii="Liberation Serif" w:hAnsi="Liberation Serif" w:cs="Liberation Serif"/>
          <w:sz w:val="28"/>
          <w:szCs w:val="28"/>
        </w:rPr>
        <w:t>в</w:t>
      </w:r>
      <w:r w:rsidR="00431C27" w:rsidRPr="001D6E20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>
        <w:rPr>
          <w:rFonts w:ascii="Liberation Serif" w:hAnsi="Liberation Serif" w:cs="Liberation Serif"/>
          <w:sz w:val="28"/>
          <w:szCs w:val="28"/>
        </w:rPr>
        <w:t xml:space="preserve">её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в новой редакции (Прилага</w:t>
      </w:r>
      <w:r w:rsidR="00431C27">
        <w:rPr>
          <w:rFonts w:ascii="Liberation Serif" w:hAnsi="Liberation Serif" w:cs="Liberation Serif"/>
          <w:sz w:val="28"/>
          <w:szCs w:val="28"/>
        </w:rPr>
        <w:t>е</w:t>
      </w:r>
      <w:r w:rsidR="00431C27" w:rsidRPr="001D6E20">
        <w:rPr>
          <w:rFonts w:ascii="Liberation Serif" w:hAnsi="Liberation Serif" w:cs="Liberation Serif"/>
          <w:sz w:val="28"/>
          <w:szCs w:val="28"/>
        </w:rPr>
        <w:t>тся</w:t>
      </w:r>
      <w:r w:rsidR="00431C27">
        <w:rPr>
          <w:rFonts w:ascii="Liberation Serif" w:hAnsi="Liberation Serif" w:cs="Liberation Serif"/>
          <w:sz w:val="28"/>
          <w:szCs w:val="28"/>
        </w:rPr>
        <w:t>)</w:t>
      </w:r>
    </w:p>
    <w:p w:rsidR="00E02DCF" w:rsidRPr="00431C27" w:rsidRDefault="00431C27" w:rsidP="00431C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Комитету по экономике </w:t>
      </w:r>
      <w:r w:rsidRPr="00431C27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включить</w:t>
      </w:r>
      <w:r w:rsidRPr="00431C27">
        <w:t xml:space="preserve"> </w:t>
      </w:r>
      <w:r w:rsidRPr="00431C27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>
        <w:rPr>
          <w:rFonts w:ascii="Liberation Serif" w:hAnsi="Liberation Serif" w:cs="Liberation Serif"/>
          <w:sz w:val="28"/>
          <w:szCs w:val="28"/>
        </w:rPr>
        <w:t xml:space="preserve"> в реестр муниципальных программ.</w:t>
      </w:r>
    </w:p>
    <w:p w:rsidR="00A775B7" w:rsidRPr="0055791E" w:rsidRDefault="00157437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</w:t>
      </w:r>
      <w:r w:rsidR="00431C27">
        <w:rPr>
          <w:rFonts w:ascii="Liberation Serif" w:hAnsi="Liberation Serif" w:cs="Liberation Serif"/>
          <w:sz w:val="28"/>
          <w:szCs w:val="28"/>
        </w:rPr>
        <w:t>инансовому отделу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дминистрации МО Красноуфимский округ предусмотреть финансовое обеспечение в бюджете МО Красноуфимский округ на реализацию муниципальной программы МО Красноуфимский округ «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годы</w:t>
      </w:r>
      <w:r w:rsidR="00A775B7" w:rsidRPr="0055791E">
        <w:rPr>
          <w:rFonts w:ascii="Liberation Serif" w:hAnsi="Liberation Serif" w:cs="Liberation Serif"/>
          <w:sz w:val="28"/>
          <w:szCs w:val="28"/>
        </w:rPr>
        <w:t>».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4.</w:t>
      </w:r>
      <w:r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5.</w:t>
      </w:r>
      <w:r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7F474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8F6750" w:rsidRPr="0055791E" w:rsidRDefault="00F35FA5" w:rsidP="008F6750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  <w:p w:rsidR="00AC425B" w:rsidRPr="0055791E" w:rsidRDefault="00AC425B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терроризма и его 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342E53" w:rsidRPr="0055791E" w:rsidRDefault="00342E53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630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105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E02DCF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630</w:t>
            </w:r>
            <w:r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201</w:t>
      </w:r>
      <w:r w:rsidR="00404F29" w:rsidRPr="0055791E">
        <w:rPr>
          <w:rFonts w:ascii="Liberation Serif" w:hAnsi="Liberation Serif" w:cs="Liberation Serif"/>
          <w:sz w:val="28"/>
          <w:szCs w:val="28"/>
        </w:rPr>
        <w:t>9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1B4482">
          <w:pgSz w:w="11906" w:h="16838"/>
          <w:pgMar w:top="1134" w:right="707" w:bottom="1134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18,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36,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63,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81,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B31D0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470FA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3.5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B31D0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470FA">
        <w:rPr>
          <w:rFonts w:ascii="Liberation Serif" w:hAnsi="Liberation Serif" w:cs="Liberation Serif"/>
        </w:rPr>
        <w:pict>
          <v:shape id="_x0000_i1026" type="#_x0000_t75" style="width:201.75pt;height:43.5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8B31D0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470FA">
        <w:rPr>
          <w:rFonts w:ascii="Liberation Serif" w:hAnsi="Liberation Serif" w:cs="Liberation Serif"/>
        </w:rPr>
        <w:pict>
          <v:shape id="_x0000_i1027" type="#_x0000_t75" style="width:194.25pt;height:43.5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8B31D0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470FA">
        <w:rPr>
          <w:rFonts w:ascii="Liberation Serif" w:hAnsi="Liberation Serif" w:cs="Liberation Serif"/>
        </w:rPr>
        <w:pict>
          <v:shape id="_x0000_i1028" type="#_x0000_t75" style="width:3in;height:43.5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тыс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55791E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55791E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E97AD5" w:rsidRPr="0055791E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</w:t>
            </w:r>
            <w:r w:rsidR="00E97AD5">
              <w:rPr>
                <w:rFonts w:ascii="Liberation Serif" w:hAnsi="Liberation Serif" w:cs="Liberation Serif"/>
              </w:rPr>
              <w:t>,</w:t>
            </w:r>
            <w:r w:rsidR="00E97AD5"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</w:t>
            </w:r>
            <w:r w:rsidR="00E97AD5">
              <w:rPr>
                <w:rFonts w:ascii="Liberation Serif" w:hAnsi="Liberation Serif" w:cs="Liberation Serif"/>
              </w:rPr>
              <w:t>,</w:t>
            </w:r>
            <w:r w:rsidR="00E97AD5"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1. Организация и проведение </w:t>
            </w:r>
            <w:r w:rsidRPr="0055791E">
              <w:rPr>
                <w:rFonts w:ascii="Liberation Serif" w:hAnsi="Liberation Serif" w:cs="Liberation Serif"/>
              </w:rPr>
              <w:lastRenderedPageBreak/>
              <w:t>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2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4F3CDC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3</w:t>
            </w:r>
            <w:r w:rsidRPr="0055791E">
              <w:rPr>
                <w:rFonts w:ascii="Liberation Serif" w:hAnsi="Liberation Serif" w:cs="Liberation Serif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7, 8, 9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4</w:t>
            </w:r>
            <w:r w:rsidRPr="0055791E">
              <w:rPr>
                <w:rFonts w:ascii="Liberation Serif" w:hAnsi="Liberation Serif" w:cs="Liberation Serif"/>
              </w:rPr>
              <w:t>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5</w:t>
            </w:r>
            <w:r w:rsidRPr="0055791E">
              <w:rPr>
                <w:rFonts w:ascii="Liberation Serif" w:hAnsi="Liberation Serif" w:cs="Liberation Serif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6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sectPr w:rsidR="00AC425B" w:rsidSect="00AC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9B0"/>
    <w:multiLevelType w:val="multilevel"/>
    <w:tmpl w:val="451250A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B4"/>
    <w:rsid w:val="00004510"/>
    <w:rsid w:val="00042E18"/>
    <w:rsid w:val="000639CB"/>
    <w:rsid w:val="0006574A"/>
    <w:rsid w:val="00157437"/>
    <w:rsid w:val="00196EF0"/>
    <w:rsid w:val="001B4482"/>
    <w:rsid w:val="001D04F0"/>
    <w:rsid w:val="001D6E20"/>
    <w:rsid w:val="00205F14"/>
    <w:rsid w:val="002712C3"/>
    <w:rsid w:val="002B3E72"/>
    <w:rsid w:val="00311269"/>
    <w:rsid w:val="0032308D"/>
    <w:rsid w:val="00342E53"/>
    <w:rsid w:val="0036255A"/>
    <w:rsid w:val="00380AB5"/>
    <w:rsid w:val="003B76A7"/>
    <w:rsid w:val="003E7E27"/>
    <w:rsid w:val="00404F29"/>
    <w:rsid w:val="00411F31"/>
    <w:rsid w:val="00414D6D"/>
    <w:rsid w:val="00431C27"/>
    <w:rsid w:val="00433150"/>
    <w:rsid w:val="00484C7F"/>
    <w:rsid w:val="00495371"/>
    <w:rsid w:val="004C49E3"/>
    <w:rsid w:val="004F3CDC"/>
    <w:rsid w:val="0055791E"/>
    <w:rsid w:val="005679EC"/>
    <w:rsid w:val="005924D3"/>
    <w:rsid w:val="005D6C2F"/>
    <w:rsid w:val="00610DF8"/>
    <w:rsid w:val="00663AFB"/>
    <w:rsid w:val="006E2B20"/>
    <w:rsid w:val="0072457F"/>
    <w:rsid w:val="0078734E"/>
    <w:rsid w:val="007A4507"/>
    <w:rsid w:val="007F4748"/>
    <w:rsid w:val="00850179"/>
    <w:rsid w:val="0085357C"/>
    <w:rsid w:val="00890BD5"/>
    <w:rsid w:val="008924C1"/>
    <w:rsid w:val="008B31D0"/>
    <w:rsid w:val="008F6750"/>
    <w:rsid w:val="009450D2"/>
    <w:rsid w:val="009470FA"/>
    <w:rsid w:val="009C602D"/>
    <w:rsid w:val="009E6395"/>
    <w:rsid w:val="00A41992"/>
    <w:rsid w:val="00A517B4"/>
    <w:rsid w:val="00A668F7"/>
    <w:rsid w:val="00A74148"/>
    <w:rsid w:val="00A775B7"/>
    <w:rsid w:val="00AC425B"/>
    <w:rsid w:val="00AC7496"/>
    <w:rsid w:val="00B0720E"/>
    <w:rsid w:val="00B62858"/>
    <w:rsid w:val="00B6521B"/>
    <w:rsid w:val="00B87398"/>
    <w:rsid w:val="00B95E5D"/>
    <w:rsid w:val="00C16EC3"/>
    <w:rsid w:val="00C300F6"/>
    <w:rsid w:val="00C4705A"/>
    <w:rsid w:val="00D35CB2"/>
    <w:rsid w:val="00D61234"/>
    <w:rsid w:val="00D84107"/>
    <w:rsid w:val="00E02DCF"/>
    <w:rsid w:val="00E574E9"/>
    <w:rsid w:val="00E97262"/>
    <w:rsid w:val="00E97AD5"/>
    <w:rsid w:val="00EC4FB1"/>
    <w:rsid w:val="00F1362D"/>
    <w:rsid w:val="00F35FA5"/>
    <w:rsid w:val="00F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4397-2DC5-4E61-84C1-658CFCCD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18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Дело</cp:lastModifiedBy>
  <cp:revision>34</cp:revision>
  <cp:lastPrinted>2020-04-27T06:18:00Z</cp:lastPrinted>
  <dcterms:created xsi:type="dcterms:W3CDTF">2020-01-20T11:38:00Z</dcterms:created>
  <dcterms:modified xsi:type="dcterms:W3CDTF">2020-04-27T06:21:00Z</dcterms:modified>
</cp:coreProperties>
</file>